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79F0A3B8" w:rsidR="003A663C" w:rsidRPr="003A663C" w:rsidRDefault="00E36706" w:rsidP="00897E1C">
      <w:pPr>
        <w:pStyle w:val="Title"/>
        <w:spacing w:before="10080"/>
      </w:pPr>
      <w:bookmarkStart w:id="0" w:name="_Hlk91853632"/>
      <w:bookmarkStart w:id="1" w:name="_Toc88478171"/>
      <w:r>
        <w:t xml:space="preserve">Freedom to Speak </w:t>
      </w:r>
      <w:proofErr w:type="gramStart"/>
      <w:r>
        <w:t>Up</w:t>
      </w:r>
      <w:r w:rsidR="00CD52D6">
        <w:t xml:space="preserve">  </w:t>
      </w:r>
      <w:r w:rsidR="00924A7F">
        <w:t>(</w:t>
      </w:r>
      <w:proofErr w:type="gramEnd"/>
      <w:r w:rsidR="004B6E32">
        <w:t>Whistleblowing</w:t>
      </w:r>
      <w:r w:rsidR="00924A7F">
        <w:t xml:space="preserve">) </w:t>
      </w:r>
      <w:r w:rsidR="001F5052">
        <w:t>P</w:t>
      </w:r>
      <w:r w:rsidR="00F87AEA" w:rsidRPr="00F87AEA">
        <w:t xml:space="preserve">olicy </w:t>
      </w:r>
      <w:bookmarkEnd w:id="0"/>
      <w:r w:rsidR="003A663C">
        <w:br w:type="page"/>
      </w:r>
    </w:p>
    <w:p w14:paraId="4115932A" w14:textId="77777777" w:rsidR="00FD2B5D" w:rsidRPr="002A1B2C" w:rsidRDefault="00FD2B5D" w:rsidP="00FD2B5D">
      <w:pPr>
        <w:pStyle w:val="Heading1"/>
        <w:rPr>
          <w:sz w:val="28"/>
          <w:szCs w:val="28"/>
        </w:rPr>
      </w:pPr>
      <w:r w:rsidRPr="002A1B2C">
        <w:rPr>
          <w:sz w:val="28"/>
          <w:szCs w:val="28"/>
        </w:rPr>
        <w:lastRenderedPageBreak/>
        <w:t>Document Control:</w:t>
      </w:r>
      <w:bookmarkEnd w:id="1"/>
    </w:p>
    <w:tbl>
      <w:tblPr>
        <w:tblStyle w:val="TableGrid"/>
        <w:tblW w:w="9072" w:type="dxa"/>
        <w:tblInd w:w="-5" w:type="dxa"/>
        <w:tblLook w:val="04A0" w:firstRow="1" w:lastRow="0" w:firstColumn="1" w:lastColumn="0" w:noHBand="0" w:noVBand="1"/>
      </w:tblPr>
      <w:tblGrid>
        <w:gridCol w:w="4678"/>
        <w:gridCol w:w="4394"/>
      </w:tblGrid>
      <w:tr w:rsidR="002A1B2C" w:rsidRPr="002A1B2C" w14:paraId="5E63C9BE" w14:textId="77777777" w:rsidTr="00897E1C">
        <w:tc>
          <w:tcPr>
            <w:tcW w:w="4678" w:type="dxa"/>
            <w:shd w:val="clear" w:color="auto" w:fill="003087" w:themeFill="accent1"/>
          </w:tcPr>
          <w:p w14:paraId="0C779DD6" w14:textId="77777777" w:rsidR="002A1B2C" w:rsidRPr="002A1B2C" w:rsidRDefault="002A1B2C" w:rsidP="002A1B2C">
            <w:pPr>
              <w:spacing w:before="0" w:after="0"/>
              <w:ind w:left="0"/>
              <w:rPr>
                <w:color w:val="FFFFFF" w:themeColor="background1"/>
              </w:rPr>
            </w:pPr>
            <w:r w:rsidRPr="002A1B2C">
              <w:rPr>
                <w:color w:val="FFFFFF" w:themeColor="background1"/>
              </w:rPr>
              <w:t>Policy Name</w:t>
            </w:r>
          </w:p>
        </w:tc>
        <w:tc>
          <w:tcPr>
            <w:tcW w:w="4394" w:type="dxa"/>
          </w:tcPr>
          <w:p w14:paraId="63EEE212" w14:textId="39735684" w:rsidR="002A1B2C" w:rsidRPr="002A1B2C" w:rsidRDefault="00E36706" w:rsidP="002A1B2C">
            <w:pPr>
              <w:spacing w:before="0" w:after="0"/>
              <w:ind w:left="0"/>
            </w:pPr>
            <w:r>
              <w:t>Freedom to Speak Up</w:t>
            </w:r>
            <w:r w:rsidR="00CD52D6">
              <w:t xml:space="preserve"> </w:t>
            </w:r>
            <w:r w:rsidR="00924A7F">
              <w:t>(</w:t>
            </w:r>
            <w:r w:rsidR="004B6E32">
              <w:t>Whistleblowing</w:t>
            </w:r>
            <w:r w:rsidR="00924A7F">
              <w:t xml:space="preserve">) </w:t>
            </w:r>
            <w:r>
              <w:t>P</w:t>
            </w:r>
            <w:r w:rsidR="002A1B2C" w:rsidRPr="00B018E6">
              <w:t>olicy</w:t>
            </w:r>
          </w:p>
        </w:tc>
      </w:tr>
      <w:tr w:rsidR="002A1B2C" w:rsidRPr="002A1B2C" w14:paraId="4AC22333" w14:textId="77777777" w:rsidTr="00897E1C">
        <w:tc>
          <w:tcPr>
            <w:tcW w:w="4678" w:type="dxa"/>
            <w:shd w:val="clear" w:color="auto" w:fill="003087" w:themeFill="accent1"/>
          </w:tcPr>
          <w:p w14:paraId="353F6BDF" w14:textId="77777777" w:rsidR="002A1B2C" w:rsidRPr="002A1B2C" w:rsidRDefault="002A1B2C" w:rsidP="002A1B2C">
            <w:pPr>
              <w:spacing w:before="0" w:after="0"/>
              <w:ind w:left="0"/>
              <w:rPr>
                <w:color w:val="FFFFFF" w:themeColor="background1"/>
              </w:rPr>
            </w:pPr>
            <w:r w:rsidRPr="002A1B2C">
              <w:rPr>
                <w:color w:val="FFFFFF" w:themeColor="background1"/>
              </w:rPr>
              <w:t>Policy Number</w:t>
            </w:r>
          </w:p>
        </w:tc>
        <w:tc>
          <w:tcPr>
            <w:tcW w:w="4394" w:type="dxa"/>
          </w:tcPr>
          <w:p w14:paraId="5D1A086D" w14:textId="30A91D19" w:rsidR="002A1B2C" w:rsidRPr="002A1B2C" w:rsidRDefault="00184DE1" w:rsidP="002A1B2C">
            <w:pPr>
              <w:spacing w:before="0" w:after="0"/>
              <w:ind w:left="0"/>
            </w:pPr>
            <w:r>
              <w:t>MSEICB 023</w:t>
            </w:r>
          </w:p>
        </w:tc>
      </w:tr>
      <w:tr w:rsidR="002A1B2C" w:rsidRPr="002A1B2C" w14:paraId="056460A0" w14:textId="77777777" w:rsidTr="00897E1C">
        <w:tc>
          <w:tcPr>
            <w:tcW w:w="4678" w:type="dxa"/>
            <w:shd w:val="clear" w:color="auto" w:fill="003087" w:themeFill="accent1"/>
          </w:tcPr>
          <w:p w14:paraId="14CD410F" w14:textId="77777777" w:rsidR="002A1B2C" w:rsidRPr="002A1B2C" w:rsidRDefault="002A1B2C" w:rsidP="002A1B2C">
            <w:pPr>
              <w:spacing w:before="0" w:after="0"/>
              <w:ind w:left="0"/>
              <w:rPr>
                <w:color w:val="FFFFFF" w:themeColor="background1"/>
              </w:rPr>
            </w:pPr>
            <w:r w:rsidRPr="002A1B2C">
              <w:rPr>
                <w:color w:val="FFFFFF" w:themeColor="background1"/>
              </w:rPr>
              <w:t>Version</w:t>
            </w:r>
          </w:p>
        </w:tc>
        <w:tc>
          <w:tcPr>
            <w:tcW w:w="4394" w:type="dxa"/>
          </w:tcPr>
          <w:p w14:paraId="214594A6" w14:textId="3AD258B6" w:rsidR="002A1B2C" w:rsidRPr="002A1B2C" w:rsidRDefault="00F31CEE" w:rsidP="002A1B2C">
            <w:pPr>
              <w:spacing w:before="0" w:after="0"/>
              <w:ind w:left="0"/>
            </w:pPr>
            <w:r>
              <w:t>1</w:t>
            </w:r>
            <w:r w:rsidR="00897E1C">
              <w:t>.</w:t>
            </w:r>
            <w:r w:rsidR="00A413D8">
              <w:t>1</w:t>
            </w:r>
          </w:p>
        </w:tc>
      </w:tr>
      <w:tr w:rsidR="002A1B2C" w:rsidRPr="002A1B2C" w14:paraId="14BC2A83" w14:textId="77777777" w:rsidTr="00897E1C">
        <w:tc>
          <w:tcPr>
            <w:tcW w:w="4678" w:type="dxa"/>
            <w:shd w:val="clear" w:color="auto" w:fill="003087" w:themeFill="accent1"/>
          </w:tcPr>
          <w:p w14:paraId="76DB9611" w14:textId="77777777" w:rsidR="002A1B2C" w:rsidRPr="002A1B2C" w:rsidRDefault="002A1B2C" w:rsidP="002A1B2C">
            <w:pPr>
              <w:spacing w:before="0" w:after="0"/>
              <w:ind w:left="0"/>
              <w:rPr>
                <w:color w:val="FFFFFF" w:themeColor="background1"/>
              </w:rPr>
            </w:pPr>
            <w:r w:rsidRPr="002A1B2C">
              <w:rPr>
                <w:color w:val="FFFFFF" w:themeColor="background1"/>
              </w:rPr>
              <w:t>Status</w:t>
            </w:r>
          </w:p>
        </w:tc>
        <w:tc>
          <w:tcPr>
            <w:tcW w:w="4394" w:type="dxa"/>
          </w:tcPr>
          <w:p w14:paraId="6118F000" w14:textId="4D656FD5" w:rsidR="002A1B2C" w:rsidRPr="002A1B2C" w:rsidRDefault="00924A7F" w:rsidP="002A1B2C">
            <w:pPr>
              <w:spacing w:before="0" w:after="0"/>
              <w:ind w:left="0"/>
            </w:pPr>
            <w:r>
              <w:t>Approved</w:t>
            </w:r>
          </w:p>
        </w:tc>
      </w:tr>
      <w:tr w:rsidR="002A1B2C" w:rsidRPr="002A1B2C" w14:paraId="73B6FD34" w14:textId="77777777" w:rsidTr="00897E1C">
        <w:tc>
          <w:tcPr>
            <w:tcW w:w="4678" w:type="dxa"/>
            <w:shd w:val="clear" w:color="auto" w:fill="003087" w:themeFill="accent1"/>
          </w:tcPr>
          <w:p w14:paraId="11B79665" w14:textId="77777777" w:rsidR="002A1B2C" w:rsidRPr="002A1B2C" w:rsidRDefault="002A1B2C" w:rsidP="002A1B2C">
            <w:pPr>
              <w:spacing w:before="0" w:after="0"/>
              <w:ind w:left="0"/>
              <w:rPr>
                <w:color w:val="FFFFFF" w:themeColor="background1"/>
              </w:rPr>
            </w:pPr>
            <w:r w:rsidRPr="002A1B2C">
              <w:rPr>
                <w:color w:val="FFFFFF" w:themeColor="background1"/>
              </w:rPr>
              <w:t>Author / Lead</w:t>
            </w:r>
          </w:p>
        </w:tc>
        <w:tc>
          <w:tcPr>
            <w:tcW w:w="4394" w:type="dxa"/>
          </w:tcPr>
          <w:p w14:paraId="46434A3A" w14:textId="0F503FA6" w:rsidR="002A1B2C" w:rsidRDefault="00E36706" w:rsidP="002A1B2C">
            <w:pPr>
              <w:spacing w:before="0" w:after="0"/>
              <w:ind w:left="0"/>
            </w:pPr>
            <w:r>
              <w:t>Senior HR Business Partner</w:t>
            </w:r>
            <w:r w:rsidR="00105989">
              <w:t>.</w:t>
            </w:r>
            <w:r>
              <w:t xml:space="preserve"> </w:t>
            </w:r>
          </w:p>
          <w:p w14:paraId="4B115A03" w14:textId="6C85DA09" w:rsidR="00105989" w:rsidRPr="002A1B2C" w:rsidRDefault="002A44FE" w:rsidP="002A1B2C">
            <w:pPr>
              <w:spacing w:before="0" w:after="0"/>
              <w:ind w:left="0"/>
            </w:pPr>
            <w:r>
              <w:t>Interim Human Resources Director</w:t>
            </w:r>
          </w:p>
        </w:tc>
      </w:tr>
      <w:tr w:rsidR="002A1B2C" w:rsidRPr="002A1B2C" w14:paraId="0A3BD176" w14:textId="77777777" w:rsidTr="00897E1C">
        <w:tc>
          <w:tcPr>
            <w:tcW w:w="4678" w:type="dxa"/>
            <w:shd w:val="clear" w:color="auto" w:fill="003087" w:themeFill="accent1"/>
          </w:tcPr>
          <w:p w14:paraId="4E1CA51B" w14:textId="77777777" w:rsidR="002A1B2C" w:rsidRPr="002A1B2C" w:rsidRDefault="002A1B2C" w:rsidP="002A1B2C">
            <w:pPr>
              <w:spacing w:before="0" w:after="0"/>
              <w:ind w:left="0"/>
              <w:rPr>
                <w:color w:val="FFFFFF" w:themeColor="background1"/>
              </w:rPr>
            </w:pPr>
            <w:r w:rsidRPr="002A1B2C">
              <w:rPr>
                <w:color w:val="FFFFFF" w:themeColor="background1"/>
              </w:rPr>
              <w:t>Responsible Executive Director</w:t>
            </w:r>
          </w:p>
        </w:tc>
        <w:tc>
          <w:tcPr>
            <w:tcW w:w="4394" w:type="dxa"/>
          </w:tcPr>
          <w:p w14:paraId="3BF6E855" w14:textId="42D97F08" w:rsidR="002A1B2C" w:rsidRPr="002A1B2C" w:rsidRDefault="00897E1C" w:rsidP="002A1B2C">
            <w:pPr>
              <w:spacing w:before="0" w:after="0"/>
              <w:ind w:left="0"/>
            </w:pPr>
            <w:r>
              <w:t>Chief People Officer</w:t>
            </w:r>
          </w:p>
        </w:tc>
      </w:tr>
      <w:tr w:rsidR="002A1B2C" w:rsidRPr="002A1B2C" w14:paraId="393CE14E" w14:textId="77777777" w:rsidTr="00897E1C">
        <w:tc>
          <w:tcPr>
            <w:tcW w:w="4678" w:type="dxa"/>
            <w:shd w:val="clear" w:color="auto" w:fill="003087" w:themeFill="accent1"/>
          </w:tcPr>
          <w:p w14:paraId="33DF4168" w14:textId="77777777" w:rsidR="002A1B2C" w:rsidRPr="002A1B2C" w:rsidRDefault="002A1B2C" w:rsidP="002A1B2C">
            <w:pPr>
              <w:spacing w:before="0" w:after="0"/>
              <w:ind w:left="0"/>
              <w:rPr>
                <w:color w:val="FFFFFF" w:themeColor="background1"/>
              </w:rPr>
            </w:pPr>
            <w:r w:rsidRPr="002A1B2C">
              <w:rPr>
                <w:color w:val="FFFFFF" w:themeColor="background1"/>
              </w:rPr>
              <w:t>Responsible Committee</w:t>
            </w:r>
          </w:p>
        </w:tc>
        <w:tc>
          <w:tcPr>
            <w:tcW w:w="4394" w:type="dxa"/>
          </w:tcPr>
          <w:p w14:paraId="1A622E87" w14:textId="77777777" w:rsidR="00105989" w:rsidRDefault="00F31CEE" w:rsidP="002A1B2C">
            <w:pPr>
              <w:spacing w:before="0" w:after="0"/>
              <w:ind w:left="0"/>
            </w:pPr>
            <w:r>
              <w:t>Audit Committee</w:t>
            </w:r>
            <w:r w:rsidR="008B53CA">
              <w:t xml:space="preserve"> and </w:t>
            </w:r>
          </w:p>
          <w:p w14:paraId="16DD0CB3" w14:textId="5460A336" w:rsidR="002A1B2C" w:rsidRPr="002A1B2C" w:rsidRDefault="008B53CA" w:rsidP="002A1B2C">
            <w:pPr>
              <w:spacing w:before="0" w:after="0"/>
              <w:ind w:left="0"/>
              <w:rPr>
                <w:color w:val="auto"/>
              </w:rPr>
            </w:pPr>
            <w:r>
              <w:t xml:space="preserve">Remuneration Committee </w:t>
            </w:r>
          </w:p>
        </w:tc>
      </w:tr>
      <w:tr w:rsidR="002A1B2C" w:rsidRPr="002A1B2C" w14:paraId="0CE06CF4" w14:textId="77777777" w:rsidTr="00897E1C">
        <w:tc>
          <w:tcPr>
            <w:tcW w:w="4678" w:type="dxa"/>
            <w:shd w:val="clear" w:color="auto" w:fill="003087" w:themeFill="accent1"/>
          </w:tcPr>
          <w:p w14:paraId="6F9C429A" w14:textId="77777777" w:rsidR="002A1B2C" w:rsidRPr="002A1B2C" w:rsidRDefault="002A1B2C" w:rsidP="002A1B2C">
            <w:pPr>
              <w:spacing w:before="0" w:after="0"/>
              <w:ind w:left="0"/>
              <w:rPr>
                <w:color w:val="FFFFFF" w:themeColor="background1"/>
              </w:rPr>
            </w:pPr>
            <w:r w:rsidRPr="002A1B2C">
              <w:rPr>
                <w:color w:val="FFFFFF" w:themeColor="background1"/>
              </w:rPr>
              <w:t>Date Ratified by Responsible Committee</w:t>
            </w:r>
          </w:p>
        </w:tc>
        <w:tc>
          <w:tcPr>
            <w:tcW w:w="4394" w:type="dxa"/>
          </w:tcPr>
          <w:p w14:paraId="63D56E7C" w14:textId="439FB7B3" w:rsidR="002A1B2C" w:rsidRPr="008B53CA" w:rsidRDefault="008B53CA" w:rsidP="002A1B2C">
            <w:pPr>
              <w:spacing w:before="0" w:after="0"/>
              <w:ind w:left="0"/>
              <w:rPr>
                <w:color w:val="auto"/>
              </w:rPr>
            </w:pPr>
            <w:r w:rsidRPr="008B53CA">
              <w:rPr>
                <w:color w:val="auto"/>
              </w:rPr>
              <w:t>Audit Committee, 16 January 2024</w:t>
            </w:r>
            <w:r w:rsidR="00105989">
              <w:rPr>
                <w:color w:val="auto"/>
              </w:rPr>
              <w:t>.</w:t>
            </w:r>
          </w:p>
          <w:p w14:paraId="58B402E8" w14:textId="615732E1" w:rsidR="008B53CA" w:rsidRPr="002A1B2C" w:rsidRDefault="008B53CA" w:rsidP="002A1B2C">
            <w:pPr>
              <w:spacing w:before="0" w:after="0"/>
              <w:ind w:left="0"/>
              <w:rPr>
                <w:color w:val="auto"/>
                <w:highlight w:val="yellow"/>
              </w:rPr>
            </w:pPr>
            <w:r w:rsidRPr="008B53CA">
              <w:rPr>
                <w:color w:val="auto"/>
              </w:rPr>
              <w:t>Remuneration Committee, 23 January 2024</w:t>
            </w:r>
            <w:r w:rsidR="00105989">
              <w:rPr>
                <w:color w:val="auto"/>
              </w:rPr>
              <w:t>.</w:t>
            </w:r>
          </w:p>
        </w:tc>
      </w:tr>
      <w:tr w:rsidR="002A1B2C" w:rsidRPr="002A1B2C" w14:paraId="05D34494" w14:textId="77777777" w:rsidTr="00897E1C">
        <w:tc>
          <w:tcPr>
            <w:tcW w:w="4678" w:type="dxa"/>
            <w:shd w:val="clear" w:color="auto" w:fill="003087" w:themeFill="accent1"/>
          </w:tcPr>
          <w:p w14:paraId="18C08AFC" w14:textId="12700B52" w:rsidR="002A1B2C" w:rsidRPr="002A1B2C" w:rsidRDefault="002A1B2C" w:rsidP="002A1B2C">
            <w:pPr>
              <w:spacing w:before="0" w:after="0"/>
              <w:ind w:left="0"/>
              <w:rPr>
                <w:color w:val="FFFFFF" w:themeColor="background1"/>
              </w:rPr>
            </w:pPr>
            <w:r w:rsidRPr="002A1B2C">
              <w:rPr>
                <w:color w:val="FFFFFF" w:themeColor="background1"/>
              </w:rPr>
              <w:t>Effective Date</w:t>
            </w:r>
          </w:p>
        </w:tc>
        <w:tc>
          <w:tcPr>
            <w:tcW w:w="4394" w:type="dxa"/>
          </w:tcPr>
          <w:p w14:paraId="2DA09DD2" w14:textId="29AC6670" w:rsidR="002A1B2C" w:rsidRPr="002A1B2C" w:rsidRDefault="00F928C7" w:rsidP="002A1B2C">
            <w:pPr>
              <w:spacing w:before="0" w:after="0"/>
              <w:ind w:left="0"/>
              <w:rPr>
                <w:color w:val="auto"/>
                <w:highlight w:val="yellow"/>
              </w:rPr>
            </w:pPr>
            <w:r w:rsidRPr="00F928C7">
              <w:rPr>
                <w:color w:val="auto"/>
              </w:rPr>
              <w:t>23 January 2024</w:t>
            </w:r>
          </w:p>
        </w:tc>
      </w:tr>
      <w:tr w:rsidR="002A1B2C" w:rsidRPr="002A1B2C" w14:paraId="59F87E36" w14:textId="77777777" w:rsidTr="00897E1C">
        <w:tc>
          <w:tcPr>
            <w:tcW w:w="4678" w:type="dxa"/>
            <w:shd w:val="clear" w:color="auto" w:fill="003087" w:themeFill="accent1"/>
          </w:tcPr>
          <w:p w14:paraId="14FA9997" w14:textId="77777777" w:rsidR="002A1B2C" w:rsidRPr="002A1B2C" w:rsidRDefault="002A1B2C" w:rsidP="002A1B2C">
            <w:pPr>
              <w:spacing w:before="0" w:after="0"/>
              <w:ind w:left="0"/>
              <w:rPr>
                <w:color w:val="FFFFFF" w:themeColor="background1"/>
              </w:rPr>
            </w:pPr>
            <w:r w:rsidRPr="002A1B2C">
              <w:rPr>
                <w:color w:val="FFFFFF" w:themeColor="background1"/>
              </w:rPr>
              <w:t>Next Review Date</w:t>
            </w:r>
          </w:p>
        </w:tc>
        <w:tc>
          <w:tcPr>
            <w:tcW w:w="4394" w:type="dxa"/>
          </w:tcPr>
          <w:p w14:paraId="6CE2F5B1" w14:textId="5CF51912" w:rsidR="002A1B2C" w:rsidRPr="002A1B2C" w:rsidRDefault="009C4957" w:rsidP="002A1B2C">
            <w:pPr>
              <w:spacing w:before="0" w:after="0"/>
              <w:ind w:left="0"/>
              <w:rPr>
                <w:color w:val="auto"/>
              </w:rPr>
            </w:pPr>
            <w:r>
              <w:rPr>
                <w:color w:val="auto"/>
              </w:rPr>
              <w:t>J</w:t>
            </w:r>
            <w:r w:rsidR="00A413D8">
              <w:rPr>
                <w:color w:val="auto"/>
              </w:rPr>
              <w:t>uly</w:t>
            </w:r>
            <w:r>
              <w:rPr>
                <w:color w:val="auto"/>
              </w:rPr>
              <w:t xml:space="preserve"> 2025</w:t>
            </w:r>
            <w:r w:rsidR="00976004">
              <w:rPr>
                <w:color w:val="auto"/>
              </w:rPr>
              <w:t xml:space="preserve"> </w:t>
            </w:r>
            <w:r w:rsidR="008320CF">
              <w:rPr>
                <w:color w:val="auto"/>
              </w:rPr>
              <w:t>(</w:t>
            </w:r>
            <w:r w:rsidR="00CD0D62">
              <w:rPr>
                <w:color w:val="auto"/>
              </w:rPr>
              <w:t>review date extended by Audit Com</w:t>
            </w:r>
            <w:r w:rsidR="008320CF">
              <w:rPr>
                <w:color w:val="auto"/>
              </w:rPr>
              <w:t>, 21 January 25 &amp; Remuneration Com, 7 February 2025)</w:t>
            </w:r>
          </w:p>
        </w:tc>
      </w:tr>
      <w:tr w:rsidR="002A1B2C" w:rsidRPr="002A1B2C" w14:paraId="528739DE" w14:textId="77777777" w:rsidTr="00897E1C">
        <w:tc>
          <w:tcPr>
            <w:tcW w:w="4678" w:type="dxa"/>
            <w:shd w:val="clear" w:color="auto" w:fill="003087" w:themeFill="accent1"/>
          </w:tcPr>
          <w:p w14:paraId="2D0EC1A6" w14:textId="77777777" w:rsidR="002A1B2C" w:rsidRPr="002A1B2C" w:rsidRDefault="002A1B2C" w:rsidP="002A1B2C">
            <w:pPr>
              <w:spacing w:before="0" w:after="0"/>
              <w:ind w:left="0"/>
              <w:rPr>
                <w:color w:val="FFFFFF" w:themeColor="background1"/>
              </w:rPr>
            </w:pPr>
            <w:r w:rsidRPr="002A1B2C">
              <w:rPr>
                <w:color w:val="FFFFFF" w:themeColor="background1"/>
              </w:rPr>
              <w:t>Target Audience</w:t>
            </w:r>
          </w:p>
        </w:tc>
        <w:tc>
          <w:tcPr>
            <w:tcW w:w="4394" w:type="dxa"/>
          </w:tcPr>
          <w:p w14:paraId="03A4B97C" w14:textId="77777777" w:rsidR="002A1B2C" w:rsidRDefault="002A1B2C">
            <w:pPr>
              <w:pStyle w:val="ListParagraph"/>
              <w:numPr>
                <w:ilvl w:val="0"/>
                <w:numId w:val="15"/>
              </w:numPr>
              <w:spacing w:before="0" w:after="0"/>
              <w:ind w:left="317" w:hanging="281"/>
            </w:pPr>
            <w:bookmarkStart w:id="2" w:name="_Hlk95641415"/>
            <w:r>
              <w:t xml:space="preserve">Mid and South Essex (MSE) Integrated Care Board (ICB) members and staff (including temporary/bank/agency/work experience staff, </w:t>
            </w:r>
            <w:proofErr w:type="gramStart"/>
            <w:r>
              <w:t>students</w:t>
            </w:r>
            <w:proofErr w:type="gramEnd"/>
            <w:r>
              <w:t xml:space="preserve"> and volunteers).</w:t>
            </w:r>
          </w:p>
          <w:p w14:paraId="616C6C70" w14:textId="6732C812" w:rsidR="002A1B2C" w:rsidRDefault="009C7FDE">
            <w:pPr>
              <w:pStyle w:val="ListParagraph"/>
              <w:numPr>
                <w:ilvl w:val="0"/>
                <w:numId w:val="15"/>
              </w:numPr>
              <w:spacing w:before="0" w:after="0"/>
              <w:ind w:left="317" w:hanging="281"/>
            </w:pPr>
            <w:r>
              <w:t>Consultants</w:t>
            </w:r>
            <w:r w:rsidR="002A1B2C">
              <w:t xml:space="preserve"> engaged by the ICB.</w:t>
            </w:r>
          </w:p>
          <w:p w14:paraId="2A27C397" w14:textId="78A12227" w:rsidR="002A1B2C" w:rsidRPr="002A1B2C" w:rsidRDefault="002A1B2C">
            <w:pPr>
              <w:pStyle w:val="ListParagraph"/>
              <w:numPr>
                <w:ilvl w:val="0"/>
                <w:numId w:val="15"/>
              </w:numPr>
              <w:spacing w:before="0" w:after="0"/>
              <w:ind w:left="317" w:hanging="281"/>
            </w:pPr>
            <w:r>
              <w:t>Staff from other MSE Integrated Care Partnership (ICP) organisations who are members of ICB Committees/Sub-Committees and other groups.</w:t>
            </w:r>
            <w:bookmarkEnd w:id="2"/>
          </w:p>
        </w:tc>
      </w:tr>
      <w:tr w:rsidR="002A1B2C" w:rsidRPr="002A1B2C" w14:paraId="3F8F4399" w14:textId="77777777" w:rsidTr="00897E1C">
        <w:tc>
          <w:tcPr>
            <w:tcW w:w="4678" w:type="dxa"/>
            <w:shd w:val="clear" w:color="auto" w:fill="003087" w:themeFill="accent1"/>
          </w:tcPr>
          <w:p w14:paraId="28C3D477" w14:textId="77777777" w:rsidR="002A1B2C" w:rsidRPr="002A1B2C" w:rsidRDefault="002A1B2C" w:rsidP="002A1B2C">
            <w:pPr>
              <w:spacing w:before="0" w:after="0"/>
              <w:ind w:left="0"/>
              <w:rPr>
                <w:color w:val="FFFFFF" w:themeColor="background1"/>
              </w:rPr>
            </w:pPr>
            <w:r w:rsidRPr="002A1B2C">
              <w:rPr>
                <w:color w:val="FFFFFF" w:themeColor="background1"/>
              </w:rPr>
              <w:t xml:space="preserve">Stakeholders engaged in development of Policy (internal and external) </w:t>
            </w:r>
          </w:p>
        </w:tc>
        <w:tc>
          <w:tcPr>
            <w:tcW w:w="4394" w:type="dxa"/>
          </w:tcPr>
          <w:p w14:paraId="6E088477" w14:textId="77777777" w:rsidR="002A1B2C" w:rsidRDefault="002A1B2C">
            <w:pPr>
              <w:pStyle w:val="ListParagraph"/>
              <w:numPr>
                <w:ilvl w:val="0"/>
                <w:numId w:val="16"/>
              </w:numPr>
              <w:spacing w:before="0" w:after="0"/>
              <w:ind w:left="357" w:hanging="321"/>
            </w:pPr>
            <w:r>
              <w:t>Governance Leads.</w:t>
            </w:r>
          </w:p>
          <w:p w14:paraId="57CEC4F0" w14:textId="0BE29F91" w:rsidR="002A1B2C" w:rsidRDefault="00E36706">
            <w:pPr>
              <w:pStyle w:val="ListParagraph"/>
              <w:numPr>
                <w:ilvl w:val="0"/>
                <w:numId w:val="16"/>
              </w:numPr>
              <w:spacing w:before="0" w:after="0"/>
              <w:ind w:left="357" w:hanging="321"/>
            </w:pPr>
            <w:r>
              <w:t xml:space="preserve">ICB </w:t>
            </w:r>
            <w:r w:rsidR="002A1B2C">
              <w:t xml:space="preserve">Freedom to Speak Up </w:t>
            </w:r>
            <w:r w:rsidR="009C7FDE">
              <w:t>Guardian</w:t>
            </w:r>
          </w:p>
          <w:p w14:paraId="7BBA9266" w14:textId="38582E86" w:rsidR="002A1B2C" w:rsidRPr="002A1B2C" w:rsidRDefault="002A1B2C">
            <w:pPr>
              <w:pStyle w:val="ListParagraph"/>
              <w:numPr>
                <w:ilvl w:val="0"/>
                <w:numId w:val="16"/>
              </w:numPr>
              <w:spacing w:before="0" w:after="0"/>
              <w:ind w:left="357" w:hanging="321"/>
            </w:pPr>
            <w:r>
              <w:rPr>
                <w:rFonts w:ascii="Arial" w:hAnsi="Arial" w:cs="Arial"/>
              </w:rPr>
              <w:t xml:space="preserve">MSE </w:t>
            </w:r>
            <w:r w:rsidR="00E36706">
              <w:rPr>
                <w:rFonts w:ascii="Arial" w:hAnsi="Arial" w:cs="Arial"/>
              </w:rPr>
              <w:t xml:space="preserve">ICB </w:t>
            </w:r>
            <w:r>
              <w:rPr>
                <w:rFonts w:ascii="Arial" w:hAnsi="Arial" w:cs="Arial"/>
              </w:rPr>
              <w:t>Staff Engagement Group</w:t>
            </w:r>
            <w:r>
              <w:t>.</w:t>
            </w:r>
          </w:p>
        </w:tc>
      </w:tr>
      <w:tr w:rsidR="002A1B2C" w:rsidRPr="002A1B2C" w14:paraId="2B951C09" w14:textId="77777777" w:rsidTr="00897E1C">
        <w:tc>
          <w:tcPr>
            <w:tcW w:w="4678" w:type="dxa"/>
            <w:shd w:val="clear" w:color="auto" w:fill="003087" w:themeFill="accent1"/>
          </w:tcPr>
          <w:p w14:paraId="762117D3" w14:textId="77777777" w:rsidR="002A1B2C" w:rsidRPr="002A1B2C" w:rsidRDefault="002A1B2C" w:rsidP="002A1B2C">
            <w:pPr>
              <w:spacing w:before="0" w:after="0"/>
              <w:ind w:left="0"/>
              <w:rPr>
                <w:color w:val="FFFFFF" w:themeColor="background1"/>
              </w:rPr>
            </w:pPr>
            <w:r w:rsidRPr="002A1B2C">
              <w:rPr>
                <w:color w:val="FFFFFF" w:themeColor="background1"/>
              </w:rPr>
              <w:t xml:space="preserve">Impact Assessments Undertaken </w:t>
            </w:r>
          </w:p>
          <w:p w14:paraId="6E9BF249" w14:textId="77777777" w:rsidR="002A1B2C" w:rsidRPr="002A1B2C" w:rsidRDefault="002A1B2C" w:rsidP="002A1B2C">
            <w:pPr>
              <w:spacing w:before="0" w:after="0"/>
              <w:ind w:left="0"/>
              <w:rPr>
                <w:i/>
                <w:iCs/>
                <w:color w:val="FFFFFF" w:themeColor="background1"/>
              </w:rPr>
            </w:pPr>
            <w:r w:rsidRPr="002A1B2C">
              <w:rPr>
                <w:i/>
                <w:iCs/>
                <w:color w:val="FFFFFF" w:themeColor="background1"/>
              </w:rPr>
              <w:t>(Delete if non-applicable)</w:t>
            </w:r>
          </w:p>
        </w:tc>
        <w:tc>
          <w:tcPr>
            <w:tcW w:w="4394" w:type="dxa"/>
          </w:tcPr>
          <w:p w14:paraId="377F5964" w14:textId="7CD280BD" w:rsidR="002A1B2C" w:rsidRPr="002A1B2C" w:rsidRDefault="002A1B2C">
            <w:pPr>
              <w:numPr>
                <w:ilvl w:val="0"/>
                <w:numId w:val="17"/>
              </w:numPr>
              <w:spacing w:before="0" w:after="0"/>
              <w:ind w:left="345" w:hanging="284"/>
              <w:contextualSpacing/>
              <w:rPr>
                <w:rFonts w:cs="Times New Roman (Body CS)"/>
              </w:rPr>
            </w:pPr>
            <w:r w:rsidRPr="002A1B2C">
              <w:rPr>
                <w:rFonts w:cs="Times New Roman (Body CS)"/>
              </w:rPr>
              <w:t>Equality Impact Assessment</w:t>
            </w:r>
            <w:r w:rsidR="00952D00">
              <w:rPr>
                <w:rFonts w:cs="Times New Roman (Body CS)"/>
              </w:rPr>
              <w:t xml:space="preserve"> (Appendix A)</w:t>
            </w:r>
          </w:p>
        </w:tc>
      </w:tr>
    </w:tbl>
    <w:p w14:paraId="49F0AC0B" w14:textId="55A58D8B" w:rsidR="00FD2B5D" w:rsidRPr="002A1B2C" w:rsidRDefault="00FD2B5D" w:rsidP="002A1B2C">
      <w:pPr>
        <w:ind w:left="0"/>
        <w:rPr>
          <w:b/>
          <w:bCs/>
          <w:sz w:val="28"/>
          <w:szCs w:val="28"/>
        </w:rPr>
      </w:pPr>
      <w:bookmarkStart w:id="3" w:name="_Toc88478175"/>
      <w:r w:rsidRPr="002A1B2C">
        <w:rPr>
          <w:b/>
          <w:bCs/>
          <w:sz w:val="28"/>
          <w:szCs w:val="28"/>
        </w:rPr>
        <w:t>Version History</w:t>
      </w:r>
      <w:bookmarkEnd w:id="3"/>
    </w:p>
    <w:tbl>
      <w:tblPr>
        <w:tblStyle w:val="TableGrid"/>
        <w:tblW w:w="0" w:type="auto"/>
        <w:tblLook w:val="04A0" w:firstRow="1" w:lastRow="0" w:firstColumn="1" w:lastColumn="0" w:noHBand="0" w:noVBand="1"/>
      </w:tblPr>
      <w:tblGrid>
        <w:gridCol w:w="1097"/>
        <w:gridCol w:w="1134"/>
        <w:gridCol w:w="3029"/>
        <w:gridCol w:w="3865"/>
      </w:tblGrid>
      <w:tr w:rsidR="008B1BD3" w14:paraId="4CEEE9FB" w14:textId="77777777" w:rsidTr="00105989">
        <w:trPr>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134"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B13E4E">
        <w:trPr>
          <w:trHeight w:val="424"/>
        </w:trPr>
        <w:tc>
          <w:tcPr>
            <w:tcW w:w="1097" w:type="dxa"/>
            <w:vAlign w:val="center"/>
          </w:tcPr>
          <w:p w14:paraId="04931F40" w14:textId="0F7B5352" w:rsidR="00FD2B5D" w:rsidRDefault="00B018E6" w:rsidP="00546A28">
            <w:pPr>
              <w:pStyle w:val="NoSpacing"/>
            </w:pPr>
            <w:r>
              <w:t>0.1</w:t>
            </w:r>
          </w:p>
        </w:tc>
        <w:tc>
          <w:tcPr>
            <w:tcW w:w="1134" w:type="dxa"/>
            <w:vAlign w:val="center"/>
          </w:tcPr>
          <w:p w14:paraId="1B227E4B" w14:textId="29FD9F47" w:rsidR="00FD2B5D" w:rsidRDefault="00E36706" w:rsidP="00546A28">
            <w:pPr>
              <w:pStyle w:val="NoSpacing"/>
            </w:pPr>
            <w:r>
              <w:t>27/11/23</w:t>
            </w:r>
          </w:p>
        </w:tc>
        <w:tc>
          <w:tcPr>
            <w:tcW w:w="3029" w:type="dxa"/>
            <w:vAlign w:val="center"/>
          </w:tcPr>
          <w:p w14:paraId="1553C4E3" w14:textId="7C998310" w:rsidR="00FD2B5D" w:rsidRDefault="001C45F5" w:rsidP="00546A28">
            <w:pPr>
              <w:pStyle w:val="NoSpacing"/>
            </w:pPr>
            <w:r>
              <w:t>Judith Low, Senior HR Business Partner</w:t>
            </w:r>
          </w:p>
        </w:tc>
        <w:tc>
          <w:tcPr>
            <w:tcW w:w="3865" w:type="dxa"/>
            <w:vAlign w:val="center"/>
          </w:tcPr>
          <w:p w14:paraId="49B4F070" w14:textId="6C923199" w:rsidR="00FD2B5D" w:rsidRDefault="00B018E6" w:rsidP="00546A28">
            <w:pPr>
              <w:pStyle w:val="NoSpacing"/>
            </w:pPr>
            <w:r>
              <w:t>First draft ICB policy for review</w:t>
            </w:r>
            <w:r w:rsidR="004A2260">
              <w:t xml:space="preserve"> by </w:t>
            </w:r>
            <w:r w:rsidR="00E36706">
              <w:t>stakeholders</w:t>
            </w:r>
            <w:r w:rsidR="009A41A4">
              <w:t>.</w:t>
            </w:r>
            <w:r w:rsidR="00E36706">
              <w:t xml:space="preserve"> </w:t>
            </w:r>
          </w:p>
        </w:tc>
      </w:tr>
      <w:tr w:rsidR="00891F41" w14:paraId="3A226B5E" w14:textId="77777777" w:rsidTr="00B13E4E">
        <w:trPr>
          <w:trHeight w:val="424"/>
        </w:trPr>
        <w:tc>
          <w:tcPr>
            <w:tcW w:w="1097" w:type="dxa"/>
            <w:vAlign w:val="center"/>
          </w:tcPr>
          <w:p w14:paraId="2C69DE42" w14:textId="5345B0B2" w:rsidR="00891F41" w:rsidRDefault="00891F41" w:rsidP="00546A28">
            <w:pPr>
              <w:pStyle w:val="NoSpacing"/>
            </w:pPr>
            <w:r>
              <w:t>1.0</w:t>
            </w:r>
          </w:p>
        </w:tc>
        <w:tc>
          <w:tcPr>
            <w:tcW w:w="1134" w:type="dxa"/>
            <w:vAlign w:val="center"/>
          </w:tcPr>
          <w:p w14:paraId="748053C7" w14:textId="63D510A6" w:rsidR="00891F41" w:rsidRDefault="00891F41" w:rsidP="00546A28">
            <w:pPr>
              <w:pStyle w:val="NoSpacing"/>
            </w:pPr>
            <w:r>
              <w:t>24/01/24</w:t>
            </w:r>
          </w:p>
        </w:tc>
        <w:tc>
          <w:tcPr>
            <w:tcW w:w="3029" w:type="dxa"/>
            <w:vAlign w:val="center"/>
          </w:tcPr>
          <w:p w14:paraId="7A1AF645" w14:textId="4A15896F" w:rsidR="00891F41" w:rsidRDefault="001C45F5" w:rsidP="00546A28">
            <w:pPr>
              <w:pStyle w:val="NoSpacing"/>
            </w:pPr>
            <w:r>
              <w:t>Judith Low, Senior HR Business Partner</w:t>
            </w:r>
          </w:p>
        </w:tc>
        <w:tc>
          <w:tcPr>
            <w:tcW w:w="3865" w:type="dxa"/>
            <w:vAlign w:val="center"/>
          </w:tcPr>
          <w:p w14:paraId="7766B45E" w14:textId="519F2AE0" w:rsidR="00891F41" w:rsidRDefault="00891F41" w:rsidP="00546A28">
            <w:pPr>
              <w:pStyle w:val="NoSpacing"/>
            </w:pPr>
            <w:r>
              <w:t>Minor amendments requested by Remuneration Committee 23</w:t>
            </w:r>
            <w:r w:rsidR="00AD457A">
              <w:t>/01/24</w:t>
            </w:r>
            <w:r w:rsidR="00F13D59">
              <w:t>.</w:t>
            </w:r>
          </w:p>
        </w:tc>
      </w:tr>
      <w:tr w:rsidR="00A413D8" w14:paraId="6F20AFBE" w14:textId="77777777" w:rsidTr="00B13E4E">
        <w:trPr>
          <w:trHeight w:val="424"/>
        </w:trPr>
        <w:tc>
          <w:tcPr>
            <w:tcW w:w="1097" w:type="dxa"/>
            <w:vAlign w:val="center"/>
          </w:tcPr>
          <w:p w14:paraId="1B370CA9" w14:textId="67B7CA65" w:rsidR="00A413D8" w:rsidRDefault="00A413D8" w:rsidP="00546A28">
            <w:pPr>
              <w:pStyle w:val="NoSpacing"/>
            </w:pPr>
            <w:r>
              <w:t>1.1</w:t>
            </w:r>
          </w:p>
        </w:tc>
        <w:tc>
          <w:tcPr>
            <w:tcW w:w="1134" w:type="dxa"/>
            <w:vAlign w:val="center"/>
          </w:tcPr>
          <w:p w14:paraId="29ED67F8" w14:textId="52D6868E" w:rsidR="00A413D8" w:rsidRDefault="00A413D8" w:rsidP="00546A28">
            <w:pPr>
              <w:pStyle w:val="NoSpacing"/>
            </w:pPr>
            <w:r>
              <w:t>21/01/25</w:t>
            </w:r>
          </w:p>
        </w:tc>
        <w:tc>
          <w:tcPr>
            <w:tcW w:w="3029" w:type="dxa"/>
            <w:vAlign w:val="center"/>
          </w:tcPr>
          <w:p w14:paraId="13BA4DE4" w14:textId="7CD99B67" w:rsidR="00A413D8" w:rsidRDefault="00A413D8" w:rsidP="00546A28">
            <w:pPr>
              <w:pStyle w:val="NoSpacing"/>
            </w:pPr>
            <w:r>
              <w:t xml:space="preserve">Helen </w:t>
            </w:r>
            <w:proofErr w:type="spellStart"/>
            <w:r>
              <w:t>Chasney,</w:t>
            </w:r>
            <w:proofErr w:type="spellEnd"/>
            <w:r>
              <w:t xml:space="preserve"> Corp </w:t>
            </w:r>
            <w:proofErr w:type="spellStart"/>
            <w:r>
              <w:t>Svcs</w:t>
            </w:r>
            <w:proofErr w:type="spellEnd"/>
            <w:r>
              <w:t xml:space="preserve"> &amp; Gov Support Officer</w:t>
            </w:r>
          </w:p>
        </w:tc>
        <w:tc>
          <w:tcPr>
            <w:tcW w:w="3865" w:type="dxa"/>
            <w:vAlign w:val="center"/>
          </w:tcPr>
          <w:p w14:paraId="6D4AF187" w14:textId="445A8739" w:rsidR="00A413D8" w:rsidRDefault="003D5B97" w:rsidP="00546A28">
            <w:pPr>
              <w:pStyle w:val="NoSpacing"/>
            </w:pPr>
            <w:r>
              <w:t>Review date amended to July 2025 by Audit Com (21 January 2025)</w:t>
            </w:r>
            <w:r w:rsidR="000B4D05">
              <w:t xml:space="preserve"> &amp; Rem Com</w:t>
            </w:r>
            <w:r w:rsidR="00665C85">
              <w:t xml:space="preserve"> </w:t>
            </w:r>
            <w:r w:rsidR="00976004">
              <w:t>(</w:t>
            </w:r>
            <w:r w:rsidR="00665C85">
              <w:t>7 February 2025</w:t>
            </w:r>
            <w:r w:rsidR="00976004">
              <w:t>)</w:t>
            </w:r>
            <w:r>
              <w:t>.</w:t>
            </w:r>
          </w:p>
        </w:tc>
      </w:tr>
    </w:tbl>
    <w:p w14:paraId="4E75AD1B" w14:textId="31892104" w:rsidR="00FD2B5D" w:rsidRPr="00DA22B6" w:rsidRDefault="00F913CD" w:rsidP="00105989">
      <w:pPr>
        <w:ind w:left="0"/>
      </w:pPr>
      <w:r>
        <w:br w:type="page"/>
      </w:r>
      <w:r w:rsidR="000F560D">
        <w:lastRenderedPageBreak/>
        <w:t>Contents</w:t>
      </w:r>
      <w:r w:rsidR="00DF204D">
        <w:tab/>
      </w:r>
    </w:p>
    <w:p w14:paraId="593C4F96" w14:textId="67FD055C" w:rsidR="00134368" w:rsidRDefault="000665B0" w:rsidP="00134368">
      <w:pPr>
        <w:pStyle w:val="TOC1"/>
        <w:rPr>
          <w:rFonts w:eastAsiaTheme="minorEastAsia"/>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52597523" w:history="1">
        <w:r w:rsidR="00134368" w:rsidRPr="00A65019">
          <w:rPr>
            <w:rStyle w:val="Hyperlink"/>
            <w:noProof/>
          </w:rPr>
          <w:t>1.</w:t>
        </w:r>
        <w:r w:rsidR="00134368">
          <w:rPr>
            <w:rFonts w:eastAsiaTheme="minorEastAsia"/>
            <w:noProof/>
            <w:color w:val="auto"/>
            <w:sz w:val="22"/>
            <w:szCs w:val="22"/>
            <w:lang w:eastAsia="en-GB"/>
          </w:rPr>
          <w:tab/>
        </w:r>
        <w:r w:rsidR="00134368" w:rsidRPr="00A65019">
          <w:rPr>
            <w:rStyle w:val="Hyperlink"/>
            <w:noProof/>
          </w:rPr>
          <w:t>Introduction</w:t>
        </w:r>
        <w:r w:rsidR="00134368">
          <w:rPr>
            <w:noProof/>
            <w:webHidden/>
          </w:rPr>
          <w:tab/>
        </w:r>
        <w:r w:rsidR="00134368">
          <w:rPr>
            <w:noProof/>
            <w:webHidden/>
          </w:rPr>
          <w:fldChar w:fldCharType="begin"/>
        </w:r>
        <w:r w:rsidR="00134368">
          <w:rPr>
            <w:noProof/>
            <w:webHidden/>
          </w:rPr>
          <w:instrText xml:space="preserve"> PAGEREF _Toc152597523 \h </w:instrText>
        </w:r>
        <w:r w:rsidR="00134368">
          <w:rPr>
            <w:noProof/>
            <w:webHidden/>
          </w:rPr>
        </w:r>
        <w:r w:rsidR="00134368">
          <w:rPr>
            <w:noProof/>
            <w:webHidden/>
          </w:rPr>
          <w:fldChar w:fldCharType="separate"/>
        </w:r>
        <w:r w:rsidR="00134368">
          <w:rPr>
            <w:noProof/>
            <w:webHidden/>
          </w:rPr>
          <w:t>4</w:t>
        </w:r>
        <w:r w:rsidR="00134368">
          <w:rPr>
            <w:noProof/>
            <w:webHidden/>
          </w:rPr>
          <w:fldChar w:fldCharType="end"/>
        </w:r>
      </w:hyperlink>
    </w:p>
    <w:p w14:paraId="79C61EC8" w14:textId="65775B8E" w:rsidR="00134368" w:rsidRDefault="008320CF" w:rsidP="00134368">
      <w:pPr>
        <w:pStyle w:val="TOC1"/>
        <w:rPr>
          <w:rFonts w:eastAsiaTheme="minorEastAsia"/>
          <w:noProof/>
          <w:color w:val="auto"/>
          <w:sz w:val="22"/>
          <w:szCs w:val="22"/>
          <w:lang w:eastAsia="en-GB"/>
        </w:rPr>
      </w:pPr>
      <w:hyperlink w:anchor="_Toc152597524" w:history="1">
        <w:r w:rsidR="00134368" w:rsidRPr="00A65019">
          <w:rPr>
            <w:rStyle w:val="Hyperlink"/>
            <w:noProof/>
          </w:rPr>
          <w:t>2.</w:t>
        </w:r>
        <w:r w:rsidR="00134368">
          <w:rPr>
            <w:rFonts w:eastAsiaTheme="minorEastAsia"/>
            <w:noProof/>
            <w:color w:val="auto"/>
            <w:sz w:val="22"/>
            <w:szCs w:val="22"/>
            <w:lang w:eastAsia="en-GB"/>
          </w:rPr>
          <w:tab/>
        </w:r>
        <w:r w:rsidR="00134368" w:rsidRPr="00A65019">
          <w:rPr>
            <w:rStyle w:val="Hyperlink"/>
            <w:noProof/>
          </w:rPr>
          <w:t>Purpose</w:t>
        </w:r>
        <w:r w:rsidR="00134368">
          <w:rPr>
            <w:noProof/>
            <w:webHidden/>
          </w:rPr>
          <w:tab/>
        </w:r>
        <w:r w:rsidR="00134368">
          <w:rPr>
            <w:noProof/>
            <w:webHidden/>
          </w:rPr>
          <w:fldChar w:fldCharType="begin"/>
        </w:r>
        <w:r w:rsidR="00134368">
          <w:rPr>
            <w:noProof/>
            <w:webHidden/>
          </w:rPr>
          <w:instrText xml:space="preserve"> PAGEREF _Toc152597524 \h </w:instrText>
        </w:r>
        <w:r w:rsidR="00134368">
          <w:rPr>
            <w:noProof/>
            <w:webHidden/>
          </w:rPr>
        </w:r>
        <w:r w:rsidR="00134368">
          <w:rPr>
            <w:noProof/>
            <w:webHidden/>
          </w:rPr>
          <w:fldChar w:fldCharType="separate"/>
        </w:r>
        <w:r w:rsidR="00134368">
          <w:rPr>
            <w:noProof/>
            <w:webHidden/>
          </w:rPr>
          <w:t>4</w:t>
        </w:r>
        <w:r w:rsidR="00134368">
          <w:rPr>
            <w:noProof/>
            <w:webHidden/>
          </w:rPr>
          <w:fldChar w:fldCharType="end"/>
        </w:r>
      </w:hyperlink>
    </w:p>
    <w:p w14:paraId="4097D112" w14:textId="1873912D" w:rsidR="00134368" w:rsidRDefault="008320CF" w:rsidP="00134368">
      <w:pPr>
        <w:pStyle w:val="TOC1"/>
        <w:rPr>
          <w:rFonts w:eastAsiaTheme="minorEastAsia"/>
          <w:noProof/>
          <w:color w:val="auto"/>
          <w:sz w:val="22"/>
          <w:szCs w:val="22"/>
          <w:lang w:eastAsia="en-GB"/>
        </w:rPr>
      </w:pPr>
      <w:hyperlink w:anchor="_Toc152597525" w:history="1">
        <w:r w:rsidR="00134368" w:rsidRPr="00A65019">
          <w:rPr>
            <w:rStyle w:val="Hyperlink"/>
            <w:noProof/>
          </w:rPr>
          <w:t>3.</w:t>
        </w:r>
        <w:r w:rsidR="00134368">
          <w:rPr>
            <w:rFonts w:eastAsiaTheme="minorEastAsia"/>
            <w:noProof/>
            <w:color w:val="auto"/>
            <w:sz w:val="22"/>
            <w:szCs w:val="22"/>
            <w:lang w:eastAsia="en-GB"/>
          </w:rPr>
          <w:tab/>
        </w:r>
        <w:r w:rsidR="00134368" w:rsidRPr="00A65019">
          <w:rPr>
            <w:rStyle w:val="Hyperlink"/>
            <w:noProof/>
          </w:rPr>
          <w:t>Scope</w:t>
        </w:r>
        <w:r w:rsidR="00134368">
          <w:rPr>
            <w:noProof/>
            <w:webHidden/>
          </w:rPr>
          <w:tab/>
        </w:r>
        <w:r w:rsidR="00134368">
          <w:rPr>
            <w:noProof/>
            <w:webHidden/>
          </w:rPr>
          <w:fldChar w:fldCharType="begin"/>
        </w:r>
        <w:r w:rsidR="00134368">
          <w:rPr>
            <w:noProof/>
            <w:webHidden/>
          </w:rPr>
          <w:instrText xml:space="preserve"> PAGEREF _Toc152597525 \h </w:instrText>
        </w:r>
        <w:r w:rsidR="00134368">
          <w:rPr>
            <w:noProof/>
            <w:webHidden/>
          </w:rPr>
        </w:r>
        <w:r w:rsidR="00134368">
          <w:rPr>
            <w:noProof/>
            <w:webHidden/>
          </w:rPr>
          <w:fldChar w:fldCharType="separate"/>
        </w:r>
        <w:r w:rsidR="00134368">
          <w:rPr>
            <w:noProof/>
            <w:webHidden/>
          </w:rPr>
          <w:t>5</w:t>
        </w:r>
        <w:r w:rsidR="00134368">
          <w:rPr>
            <w:noProof/>
            <w:webHidden/>
          </w:rPr>
          <w:fldChar w:fldCharType="end"/>
        </w:r>
      </w:hyperlink>
    </w:p>
    <w:p w14:paraId="1B3C8778" w14:textId="24F6AF06" w:rsidR="00134368" w:rsidRDefault="008320CF" w:rsidP="00134368">
      <w:pPr>
        <w:pStyle w:val="TOC1"/>
        <w:rPr>
          <w:rFonts w:eastAsiaTheme="minorEastAsia"/>
          <w:noProof/>
          <w:color w:val="auto"/>
          <w:sz w:val="22"/>
          <w:szCs w:val="22"/>
          <w:lang w:eastAsia="en-GB"/>
        </w:rPr>
      </w:pPr>
      <w:hyperlink w:anchor="_Toc152597526" w:history="1">
        <w:r w:rsidR="00134368" w:rsidRPr="00A65019">
          <w:rPr>
            <w:rStyle w:val="Hyperlink"/>
            <w:noProof/>
          </w:rPr>
          <w:t>4.</w:t>
        </w:r>
        <w:r w:rsidR="00134368">
          <w:rPr>
            <w:rFonts w:eastAsiaTheme="minorEastAsia"/>
            <w:noProof/>
            <w:color w:val="auto"/>
            <w:sz w:val="22"/>
            <w:szCs w:val="22"/>
            <w:lang w:eastAsia="en-GB"/>
          </w:rPr>
          <w:tab/>
        </w:r>
        <w:r w:rsidR="00134368" w:rsidRPr="00A65019">
          <w:rPr>
            <w:rStyle w:val="Hyperlink"/>
            <w:noProof/>
          </w:rPr>
          <w:t>Definitions</w:t>
        </w:r>
        <w:r w:rsidR="00134368">
          <w:rPr>
            <w:noProof/>
            <w:webHidden/>
          </w:rPr>
          <w:tab/>
        </w:r>
        <w:r w:rsidR="00134368">
          <w:rPr>
            <w:noProof/>
            <w:webHidden/>
          </w:rPr>
          <w:fldChar w:fldCharType="begin"/>
        </w:r>
        <w:r w:rsidR="00134368">
          <w:rPr>
            <w:noProof/>
            <w:webHidden/>
          </w:rPr>
          <w:instrText xml:space="preserve"> PAGEREF _Toc152597526 \h </w:instrText>
        </w:r>
        <w:r w:rsidR="00134368">
          <w:rPr>
            <w:noProof/>
            <w:webHidden/>
          </w:rPr>
        </w:r>
        <w:r w:rsidR="00134368">
          <w:rPr>
            <w:noProof/>
            <w:webHidden/>
          </w:rPr>
          <w:fldChar w:fldCharType="separate"/>
        </w:r>
        <w:r w:rsidR="00134368">
          <w:rPr>
            <w:noProof/>
            <w:webHidden/>
          </w:rPr>
          <w:t>5</w:t>
        </w:r>
        <w:r w:rsidR="00134368">
          <w:rPr>
            <w:noProof/>
            <w:webHidden/>
          </w:rPr>
          <w:fldChar w:fldCharType="end"/>
        </w:r>
      </w:hyperlink>
    </w:p>
    <w:p w14:paraId="7C25B798" w14:textId="39E1BD19" w:rsidR="00134368" w:rsidRDefault="008320CF" w:rsidP="00134368">
      <w:pPr>
        <w:pStyle w:val="TOC1"/>
        <w:rPr>
          <w:rFonts w:eastAsiaTheme="minorEastAsia"/>
          <w:noProof/>
          <w:color w:val="auto"/>
          <w:sz w:val="22"/>
          <w:szCs w:val="22"/>
          <w:lang w:eastAsia="en-GB"/>
        </w:rPr>
      </w:pPr>
      <w:hyperlink w:anchor="_Toc152597527" w:history="1">
        <w:r w:rsidR="00134368" w:rsidRPr="00A65019">
          <w:rPr>
            <w:rStyle w:val="Hyperlink"/>
            <w:noProof/>
          </w:rPr>
          <w:t>5.</w:t>
        </w:r>
        <w:r w:rsidR="00134368">
          <w:rPr>
            <w:rFonts w:eastAsiaTheme="minorEastAsia"/>
            <w:noProof/>
            <w:color w:val="auto"/>
            <w:sz w:val="22"/>
            <w:szCs w:val="22"/>
            <w:lang w:eastAsia="en-GB"/>
          </w:rPr>
          <w:tab/>
        </w:r>
        <w:r w:rsidR="00134368" w:rsidRPr="00A65019">
          <w:rPr>
            <w:rStyle w:val="Hyperlink"/>
            <w:noProof/>
          </w:rPr>
          <w:t>Roles and Responsibilities</w:t>
        </w:r>
        <w:r w:rsidR="00134368">
          <w:rPr>
            <w:noProof/>
            <w:webHidden/>
          </w:rPr>
          <w:tab/>
        </w:r>
        <w:r w:rsidR="00134368">
          <w:rPr>
            <w:noProof/>
            <w:webHidden/>
          </w:rPr>
          <w:fldChar w:fldCharType="begin"/>
        </w:r>
        <w:r w:rsidR="00134368">
          <w:rPr>
            <w:noProof/>
            <w:webHidden/>
          </w:rPr>
          <w:instrText xml:space="preserve"> PAGEREF _Toc152597527 \h </w:instrText>
        </w:r>
        <w:r w:rsidR="00134368">
          <w:rPr>
            <w:noProof/>
            <w:webHidden/>
          </w:rPr>
        </w:r>
        <w:r w:rsidR="00134368">
          <w:rPr>
            <w:noProof/>
            <w:webHidden/>
          </w:rPr>
          <w:fldChar w:fldCharType="separate"/>
        </w:r>
        <w:r w:rsidR="00134368">
          <w:rPr>
            <w:noProof/>
            <w:webHidden/>
          </w:rPr>
          <w:t>6</w:t>
        </w:r>
        <w:r w:rsidR="00134368">
          <w:rPr>
            <w:noProof/>
            <w:webHidden/>
          </w:rPr>
          <w:fldChar w:fldCharType="end"/>
        </w:r>
      </w:hyperlink>
    </w:p>
    <w:p w14:paraId="4E013A7A" w14:textId="4F63FF99" w:rsidR="00134368" w:rsidRPr="00DF204D" w:rsidRDefault="008320CF" w:rsidP="00134368">
      <w:pPr>
        <w:pStyle w:val="TOC2"/>
        <w:rPr>
          <w:rFonts w:eastAsiaTheme="minorEastAsia"/>
          <w:noProof/>
          <w:color w:val="auto"/>
          <w:sz w:val="22"/>
          <w:szCs w:val="22"/>
          <w:lang w:eastAsia="en-GB"/>
        </w:rPr>
      </w:pPr>
      <w:hyperlink w:anchor="_Toc152597528" w:history="1">
        <w:r w:rsidR="00134368" w:rsidRPr="00DF204D">
          <w:rPr>
            <w:rStyle w:val="Hyperlink"/>
            <w:noProof/>
          </w:rPr>
          <w:t>5.1.</w:t>
        </w:r>
        <w:r w:rsidR="00134368" w:rsidRPr="00DF204D">
          <w:rPr>
            <w:rFonts w:eastAsiaTheme="minorEastAsia"/>
            <w:noProof/>
            <w:color w:val="auto"/>
            <w:sz w:val="22"/>
            <w:szCs w:val="22"/>
            <w:lang w:eastAsia="en-GB"/>
          </w:rPr>
          <w:tab/>
        </w:r>
        <w:r w:rsidR="00134368" w:rsidRPr="00DF204D">
          <w:rPr>
            <w:rStyle w:val="Hyperlink"/>
            <w:noProof/>
          </w:rPr>
          <w:t>Integrated Care Board</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_Toc152597528 \h </w:instrText>
        </w:r>
        <w:r w:rsidR="00134368" w:rsidRPr="00DF204D">
          <w:rPr>
            <w:noProof/>
            <w:webHidden/>
          </w:rPr>
        </w:r>
        <w:r w:rsidR="00134368" w:rsidRPr="00DF204D">
          <w:rPr>
            <w:noProof/>
            <w:webHidden/>
          </w:rPr>
          <w:fldChar w:fldCharType="separate"/>
        </w:r>
        <w:r w:rsidR="00134368" w:rsidRPr="00DF204D">
          <w:rPr>
            <w:noProof/>
            <w:webHidden/>
          </w:rPr>
          <w:t>6</w:t>
        </w:r>
        <w:r w:rsidR="00134368" w:rsidRPr="00DF204D">
          <w:rPr>
            <w:noProof/>
            <w:webHidden/>
          </w:rPr>
          <w:fldChar w:fldCharType="end"/>
        </w:r>
      </w:hyperlink>
    </w:p>
    <w:p w14:paraId="202D48B1" w14:textId="33E62507" w:rsidR="00134368" w:rsidRPr="00DF204D" w:rsidRDefault="008320CF" w:rsidP="00134368">
      <w:pPr>
        <w:pStyle w:val="TOC2"/>
        <w:rPr>
          <w:rFonts w:eastAsiaTheme="minorEastAsia"/>
          <w:noProof/>
          <w:color w:val="auto"/>
          <w:sz w:val="22"/>
          <w:szCs w:val="22"/>
          <w:lang w:eastAsia="en-GB"/>
        </w:rPr>
      </w:pPr>
      <w:hyperlink w:anchor="_Toc152597529" w:history="1">
        <w:r w:rsidR="00134368" w:rsidRPr="00DF204D">
          <w:rPr>
            <w:rStyle w:val="Hyperlink"/>
            <w:noProof/>
          </w:rPr>
          <w:t>5.2.</w:t>
        </w:r>
        <w:r w:rsidR="00134368" w:rsidRPr="00DF204D">
          <w:rPr>
            <w:rFonts w:eastAsiaTheme="minorEastAsia"/>
            <w:noProof/>
            <w:color w:val="auto"/>
            <w:sz w:val="22"/>
            <w:szCs w:val="22"/>
            <w:lang w:eastAsia="en-GB"/>
          </w:rPr>
          <w:tab/>
        </w:r>
        <w:r w:rsidR="00134368" w:rsidRPr="00DF204D">
          <w:rPr>
            <w:rStyle w:val="Hyperlink"/>
            <w:noProof/>
          </w:rPr>
          <w:t>Audit Committee</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_Toc152597529 \h </w:instrText>
        </w:r>
        <w:r w:rsidR="00134368" w:rsidRPr="00DF204D">
          <w:rPr>
            <w:noProof/>
            <w:webHidden/>
          </w:rPr>
        </w:r>
        <w:r w:rsidR="00134368" w:rsidRPr="00DF204D">
          <w:rPr>
            <w:noProof/>
            <w:webHidden/>
          </w:rPr>
          <w:fldChar w:fldCharType="separate"/>
        </w:r>
        <w:r w:rsidR="00134368" w:rsidRPr="00DF204D">
          <w:rPr>
            <w:noProof/>
            <w:webHidden/>
          </w:rPr>
          <w:t>6</w:t>
        </w:r>
        <w:r w:rsidR="00134368" w:rsidRPr="00DF204D">
          <w:rPr>
            <w:noProof/>
            <w:webHidden/>
          </w:rPr>
          <w:fldChar w:fldCharType="end"/>
        </w:r>
      </w:hyperlink>
    </w:p>
    <w:p w14:paraId="044A7723" w14:textId="14C6ADDF" w:rsidR="00134368" w:rsidRPr="00DF204D" w:rsidRDefault="008320CF" w:rsidP="00134368">
      <w:pPr>
        <w:pStyle w:val="TOC2"/>
        <w:rPr>
          <w:rFonts w:eastAsiaTheme="minorEastAsia"/>
          <w:noProof/>
          <w:color w:val="auto"/>
          <w:sz w:val="22"/>
          <w:szCs w:val="22"/>
          <w:lang w:eastAsia="en-GB"/>
        </w:rPr>
      </w:pPr>
      <w:hyperlink w:anchor="_Toc152597530" w:history="1">
        <w:r w:rsidR="00134368" w:rsidRPr="00DF204D">
          <w:rPr>
            <w:rStyle w:val="Hyperlink"/>
            <w:noProof/>
          </w:rPr>
          <w:t>5.3.</w:t>
        </w:r>
        <w:r w:rsidR="00134368" w:rsidRPr="00DF204D">
          <w:rPr>
            <w:rFonts w:eastAsiaTheme="minorEastAsia"/>
            <w:noProof/>
            <w:color w:val="auto"/>
            <w:sz w:val="22"/>
            <w:szCs w:val="22"/>
            <w:lang w:eastAsia="en-GB"/>
          </w:rPr>
          <w:tab/>
        </w:r>
        <w:r w:rsidR="00134368" w:rsidRPr="00DF204D">
          <w:rPr>
            <w:rStyle w:val="Hyperlink"/>
            <w:noProof/>
          </w:rPr>
          <w:t>Chief Executive</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_Toc152597530 \h </w:instrText>
        </w:r>
        <w:r w:rsidR="00134368" w:rsidRPr="00DF204D">
          <w:rPr>
            <w:noProof/>
            <w:webHidden/>
          </w:rPr>
        </w:r>
        <w:r w:rsidR="00134368" w:rsidRPr="00DF204D">
          <w:rPr>
            <w:noProof/>
            <w:webHidden/>
          </w:rPr>
          <w:fldChar w:fldCharType="separate"/>
        </w:r>
        <w:r w:rsidR="00134368" w:rsidRPr="00DF204D">
          <w:rPr>
            <w:noProof/>
            <w:webHidden/>
          </w:rPr>
          <w:t>6</w:t>
        </w:r>
        <w:r w:rsidR="00134368" w:rsidRPr="00DF204D">
          <w:rPr>
            <w:noProof/>
            <w:webHidden/>
          </w:rPr>
          <w:fldChar w:fldCharType="end"/>
        </w:r>
      </w:hyperlink>
    </w:p>
    <w:p w14:paraId="43E97D76" w14:textId="1E1DC1E4" w:rsidR="007611A1" w:rsidRDefault="008320CF" w:rsidP="007611A1">
      <w:pPr>
        <w:pStyle w:val="TOC2"/>
        <w:rPr>
          <w:noProof/>
        </w:rPr>
      </w:pPr>
      <w:hyperlink w:anchor="_Toc152597531" w:history="1">
        <w:r w:rsidR="00134368" w:rsidRPr="00DF204D">
          <w:rPr>
            <w:rStyle w:val="Hyperlink"/>
            <w:noProof/>
          </w:rPr>
          <w:t>5.4.</w:t>
        </w:r>
        <w:r w:rsidR="00134368" w:rsidRPr="00DF204D">
          <w:rPr>
            <w:rFonts w:eastAsiaTheme="minorEastAsia"/>
            <w:noProof/>
            <w:color w:val="auto"/>
            <w:sz w:val="22"/>
            <w:szCs w:val="22"/>
            <w:lang w:eastAsia="en-GB"/>
          </w:rPr>
          <w:tab/>
        </w:r>
        <w:r w:rsidR="00134368" w:rsidRPr="00DF204D">
          <w:rPr>
            <w:rStyle w:val="Hyperlink"/>
            <w:noProof/>
          </w:rPr>
          <w:t>Chief People Officer</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_Toc152597531 \h </w:instrText>
        </w:r>
        <w:r w:rsidR="00134368" w:rsidRPr="00DF204D">
          <w:rPr>
            <w:noProof/>
            <w:webHidden/>
          </w:rPr>
        </w:r>
        <w:r w:rsidR="00134368" w:rsidRPr="00DF204D">
          <w:rPr>
            <w:noProof/>
            <w:webHidden/>
          </w:rPr>
          <w:fldChar w:fldCharType="separate"/>
        </w:r>
        <w:r w:rsidR="00134368" w:rsidRPr="00DF204D">
          <w:rPr>
            <w:noProof/>
            <w:webHidden/>
          </w:rPr>
          <w:t>6</w:t>
        </w:r>
        <w:r w:rsidR="00134368" w:rsidRPr="00DF204D">
          <w:rPr>
            <w:noProof/>
            <w:webHidden/>
          </w:rPr>
          <w:fldChar w:fldCharType="end"/>
        </w:r>
      </w:hyperlink>
    </w:p>
    <w:p w14:paraId="76A3FA40" w14:textId="53BF6B98" w:rsidR="007611A1" w:rsidRPr="007611A1" w:rsidRDefault="008320CF" w:rsidP="007611A1">
      <w:pPr>
        <w:pStyle w:val="TOC2"/>
        <w:rPr>
          <w:noProof/>
        </w:rPr>
      </w:pPr>
      <w:hyperlink w:anchor="_Toc152597531" w:history="1">
        <w:r w:rsidR="007611A1" w:rsidRPr="00DF204D">
          <w:rPr>
            <w:rStyle w:val="Hyperlink"/>
            <w:noProof/>
          </w:rPr>
          <w:t>5.</w:t>
        </w:r>
        <w:r w:rsidR="007611A1">
          <w:rPr>
            <w:rStyle w:val="Hyperlink"/>
            <w:noProof/>
          </w:rPr>
          <w:t>5</w:t>
        </w:r>
        <w:r w:rsidR="007611A1" w:rsidRPr="00DF204D">
          <w:rPr>
            <w:rStyle w:val="Hyperlink"/>
            <w:noProof/>
          </w:rPr>
          <w:t>.</w:t>
        </w:r>
        <w:r w:rsidR="007611A1" w:rsidRPr="00DF204D">
          <w:rPr>
            <w:rFonts w:eastAsiaTheme="minorEastAsia"/>
            <w:noProof/>
            <w:color w:val="auto"/>
            <w:sz w:val="22"/>
            <w:szCs w:val="22"/>
            <w:lang w:eastAsia="en-GB"/>
          </w:rPr>
          <w:tab/>
        </w:r>
        <w:r w:rsidR="004D797D">
          <w:rPr>
            <w:rStyle w:val="Hyperlink"/>
            <w:noProof/>
          </w:rPr>
          <w:t>Freedom to Speak Up Guardian</w:t>
        </w:r>
        <w:r w:rsidR="007611A1" w:rsidRPr="00DF204D">
          <w:rPr>
            <w:noProof/>
            <w:webHidden/>
          </w:rPr>
          <w:tab/>
        </w:r>
        <w:r w:rsidR="007611A1" w:rsidRPr="00DF204D">
          <w:rPr>
            <w:noProof/>
            <w:webHidden/>
          </w:rPr>
          <w:fldChar w:fldCharType="begin"/>
        </w:r>
        <w:r w:rsidR="007611A1" w:rsidRPr="00DF204D">
          <w:rPr>
            <w:noProof/>
            <w:webHidden/>
          </w:rPr>
          <w:instrText xml:space="preserve"> PAGEREF _Toc152597531 \h </w:instrText>
        </w:r>
        <w:r w:rsidR="007611A1" w:rsidRPr="00DF204D">
          <w:rPr>
            <w:noProof/>
            <w:webHidden/>
          </w:rPr>
        </w:r>
        <w:r w:rsidR="007611A1" w:rsidRPr="00DF204D">
          <w:rPr>
            <w:noProof/>
            <w:webHidden/>
          </w:rPr>
          <w:fldChar w:fldCharType="separate"/>
        </w:r>
        <w:r w:rsidR="007611A1" w:rsidRPr="00DF204D">
          <w:rPr>
            <w:noProof/>
            <w:webHidden/>
          </w:rPr>
          <w:t>6</w:t>
        </w:r>
        <w:r w:rsidR="007611A1" w:rsidRPr="00DF204D">
          <w:rPr>
            <w:noProof/>
            <w:webHidden/>
          </w:rPr>
          <w:fldChar w:fldCharType="end"/>
        </w:r>
      </w:hyperlink>
    </w:p>
    <w:p w14:paraId="39481FF6" w14:textId="7A6970B2" w:rsidR="00134368" w:rsidRDefault="008320CF" w:rsidP="00134368">
      <w:pPr>
        <w:pStyle w:val="TOC2"/>
        <w:rPr>
          <w:noProof/>
        </w:rPr>
      </w:pPr>
      <w:hyperlink w:anchor="_Toc152597532" w:history="1">
        <w:r w:rsidR="00134368" w:rsidRPr="00DF204D">
          <w:rPr>
            <w:rStyle w:val="Hyperlink"/>
            <w:noProof/>
          </w:rPr>
          <w:t>5.6.</w:t>
        </w:r>
        <w:r w:rsidR="00134368" w:rsidRPr="00DF204D">
          <w:rPr>
            <w:rFonts w:eastAsiaTheme="minorEastAsia"/>
            <w:noProof/>
            <w:color w:val="auto"/>
            <w:sz w:val="22"/>
            <w:szCs w:val="22"/>
            <w:lang w:eastAsia="en-GB"/>
          </w:rPr>
          <w:tab/>
        </w:r>
        <w:r w:rsidR="00134368" w:rsidRPr="00DF204D">
          <w:rPr>
            <w:rStyle w:val="Hyperlink"/>
            <w:noProof/>
          </w:rPr>
          <w:t>Policy Author</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_Toc152597532 \h </w:instrText>
        </w:r>
        <w:r w:rsidR="00134368" w:rsidRPr="00DF204D">
          <w:rPr>
            <w:noProof/>
            <w:webHidden/>
          </w:rPr>
        </w:r>
        <w:r w:rsidR="00134368" w:rsidRPr="00DF204D">
          <w:rPr>
            <w:noProof/>
            <w:webHidden/>
          </w:rPr>
          <w:fldChar w:fldCharType="separate"/>
        </w:r>
        <w:r w:rsidR="00134368" w:rsidRPr="00DF204D">
          <w:rPr>
            <w:noProof/>
            <w:webHidden/>
          </w:rPr>
          <w:t>7</w:t>
        </w:r>
        <w:r w:rsidR="00134368" w:rsidRPr="00DF204D">
          <w:rPr>
            <w:noProof/>
            <w:webHidden/>
          </w:rPr>
          <w:fldChar w:fldCharType="end"/>
        </w:r>
      </w:hyperlink>
    </w:p>
    <w:p w14:paraId="3A1567E2" w14:textId="51C936E6" w:rsidR="007611A1" w:rsidRPr="007611A1" w:rsidRDefault="008320CF" w:rsidP="007611A1">
      <w:pPr>
        <w:pStyle w:val="TOC2"/>
        <w:rPr>
          <w:noProof/>
        </w:rPr>
      </w:pPr>
      <w:hyperlink w:anchor="_Toc152597531" w:history="1">
        <w:r w:rsidR="007611A1" w:rsidRPr="00DF204D">
          <w:rPr>
            <w:rStyle w:val="Hyperlink"/>
            <w:noProof/>
          </w:rPr>
          <w:t>5.</w:t>
        </w:r>
        <w:r w:rsidR="007611A1">
          <w:rPr>
            <w:rStyle w:val="Hyperlink"/>
            <w:noProof/>
          </w:rPr>
          <w:t>7</w:t>
        </w:r>
        <w:r w:rsidR="007611A1" w:rsidRPr="00DF204D">
          <w:rPr>
            <w:rStyle w:val="Hyperlink"/>
            <w:noProof/>
          </w:rPr>
          <w:t>.</w:t>
        </w:r>
        <w:r w:rsidR="007611A1" w:rsidRPr="00DF204D">
          <w:rPr>
            <w:rFonts w:eastAsiaTheme="minorEastAsia"/>
            <w:noProof/>
            <w:color w:val="auto"/>
            <w:sz w:val="22"/>
            <w:szCs w:val="22"/>
            <w:lang w:eastAsia="en-GB"/>
          </w:rPr>
          <w:tab/>
        </w:r>
        <w:r w:rsidR="004D797D">
          <w:rPr>
            <w:rStyle w:val="Hyperlink"/>
            <w:noProof/>
          </w:rPr>
          <w:t>Human Resources</w:t>
        </w:r>
        <w:r w:rsidR="007611A1" w:rsidRPr="00DF204D">
          <w:rPr>
            <w:noProof/>
            <w:webHidden/>
          </w:rPr>
          <w:tab/>
        </w:r>
        <w:r w:rsidR="004D797D">
          <w:rPr>
            <w:noProof/>
            <w:webHidden/>
          </w:rPr>
          <w:t>7</w:t>
        </w:r>
      </w:hyperlink>
    </w:p>
    <w:p w14:paraId="1EFEE647" w14:textId="04371C56" w:rsidR="00134368" w:rsidRPr="00DF204D" w:rsidRDefault="008320CF" w:rsidP="00134368">
      <w:pPr>
        <w:pStyle w:val="TOC2"/>
        <w:rPr>
          <w:rFonts w:eastAsiaTheme="minorEastAsia"/>
          <w:noProof/>
          <w:color w:val="auto"/>
          <w:sz w:val="22"/>
          <w:szCs w:val="22"/>
          <w:lang w:eastAsia="en-GB"/>
        </w:rPr>
      </w:pPr>
      <w:hyperlink w:anchor="_Toc152597533" w:history="1">
        <w:r w:rsidR="00134368" w:rsidRPr="00DF204D">
          <w:rPr>
            <w:rStyle w:val="Hyperlink"/>
            <w:noProof/>
          </w:rPr>
          <w:t>5.8.</w:t>
        </w:r>
        <w:r w:rsidR="00134368" w:rsidRPr="00DF204D">
          <w:rPr>
            <w:rFonts w:eastAsiaTheme="minorEastAsia"/>
            <w:noProof/>
            <w:color w:val="auto"/>
            <w:sz w:val="22"/>
            <w:szCs w:val="22"/>
            <w:lang w:eastAsia="en-GB"/>
          </w:rPr>
          <w:tab/>
        </w:r>
        <w:r w:rsidR="00134368" w:rsidRPr="00DF204D">
          <w:rPr>
            <w:rStyle w:val="Hyperlink"/>
            <w:noProof/>
          </w:rPr>
          <w:t>Local Counter Fraud Specialist</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_Toc152597533 \h </w:instrText>
        </w:r>
        <w:r w:rsidR="00134368" w:rsidRPr="00DF204D">
          <w:rPr>
            <w:noProof/>
            <w:webHidden/>
          </w:rPr>
        </w:r>
        <w:r w:rsidR="00134368" w:rsidRPr="00DF204D">
          <w:rPr>
            <w:noProof/>
            <w:webHidden/>
          </w:rPr>
          <w:fldChar w:fldCharType="separate"/>
        </w:r>
        <w:r w:rsidR="00134368" w:rsidRPr="00DF204D">
          <w:rPr>
            <w:noProof/>
            <w:webHidden/>
          </w:rPr>
          <w:t>7</w:t>
        </w:r>
        <w:r w:rsidR="00134368" w:rsidRPr="00DF204D">
          <w:rPr>
            <w:noProof/>
            <w:webHidden/>
          </w:rPr>
          <w:fldChar w:fldCharType="end"/>
        </w:r>
      </w:hyperlink>
    </w:p>
    <w:p w14:paraId="33D4F754" w14:textId="48ADF3B7" w:rsidR="00134368" w:rsidRPr="00DF204D" w:rsidRDefault="008320CF" w:rsidP="00134368">
      <w:pPr>
        <w:pStyle w:val="TOC2"/>
        <w:rPr>
          <w:rFonts w:eastAsiaTheme="minorEastAsia"/>
          <w:noProof/>
          <w:color w:val="auto"/>
          <w:sz w:val="22"/>
          <w:szCs w:val="22"/>
          <w:lang w:eastAsia="en-GB"/>
        </w:rPr>
      </w:pPr>
      <w:hyperlink w:anchor="_Toc152597534" w:history="1">
        <w:r w:rsidR="00134368" w:rsidRPr="00DF204D">
          <w:rPr>
            <w:rStyle w:val="Hyperlink"/>
            <w:noProof/>
          </w:rPr>
          <w:t>5.9.</w:t>
        </w:r>
        <w:r w:rsidR="00134368" w:rsidRPr="00DF204D">
          <w:rPr>
            <w:rFonts w:eastAsiaTheme="minorEastAsia"/>
            <w:noProof/>
            <w:color w:val="auto"/>
            <w:sz w:val="22"/>
            <w:szCs w:val="22"/>
            <w:lang w:eastAsia="en-GB"/>
          </w:rPr>
          <w:tab/>
        </w:r>
        <w:r w:rsidR="00134368" w:rsidRPr="00DF204D">
          <w:rPr>
            <w:rStyle w:val="Hyperlink"/>
            <w:noProof/>
          </w:rPr>
          <w:t>Line Managers</w:t>
        </w:r>
        <w:r w:rsidR="00134368" w:rsidRPr="00DF204D">
          <w:rPr>
            <w:noProof/>
            <w:webHidden/>
          </w:rPr>
          <w:tab/>
        </w:r>
        <w:r w:rsidR="0031189D">
          <w:rPr>
            <w:noProof/>
            <w:webHidden/>
          </w:rPr>
          <w:t>8</w:t>
        </w:r>
      </w:hyperlink>
    </w:p>
    <w:p w14:paraId="0C211A93" w14:textId="180D3CDF" w:rsidR="00134368" w:rsidRPr="00DF204D" w:rsidRDefault="008320CF" w:rsidP="00134368">
      <w:pPr>
        <w:pStyle w:val="TOC2"/>
        <w:rPr>
          <w:rFonts w:eastAsiaTheme="minorEastAsia"/>
          <w:noProof/>
          <w:color w:val="auto"/>
          <w:sz w:val="22"/>
          <w:szCs w:val="22"/>
          <w:lang w:eastAsia="en-GB"/>
        </w:rPr>
      </w:pPr>
      <w:hyperlink w:anchor="_Toc152597535" w:history="1">
        <w:r w:rsidR="00134368" w:rsidRPr="00DF204D">
          <w:rPr>
            <w:rStyle w:val="Hyperlink"/>
            <w:noProof/>
          </w:rPr>
          <w:t>5.10.</w:t>
        </w:r>
        <w:r w:rsidR="00134368" w:rsidRPr="00DF204D">
          <w:rPr>
            <w:rFonts w:eastAsiaTheme="minorEastAsia"/>
            <w:noProof/>
            <w:color w:val="auto"/>
            <w:sz w:val="22"/>
            <w:szCs w:val="22"/>
            <w:lang w:eastAsia="en-GB"/>
          </w:rPr>
          <w:tab/>
        </w:r>
        <w:r w:rsidR="00134368" w:rsidRPr="00DF204D">
          <w:rPr>
            <w:rStyle w:val="Hyperlink"/>
            <w:noProof/>
          </w:rPr>
          <w:t>All Staff</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_Toc152597535 \h </w:instrText>
        </w:r>
        <w:r w:rsidR="00134368" w:rsidRPr="00DF204D">
          <w:rPr>
            <w:noProof/>
            <w:webHidden/>
          </w:rPr>
        </w:r>
        <w:r w:rsidR="00134368" w:rsidRPr="00DF204D">
          <w:rPr>
            <w:noProof/>
            <w:webHidden/>
          </w:rPr>
          <w:fldChar w:fldCharType="separate"/>
        </w:r>
        <w:r w:rsidR="00134368" w:rsidRPr="00DF204D">
          <w:rPr>
            <w:noProof/>
            <w:webHidden/>
          </w:rPr>
          <w:t>8</w:t>
        </w:r>
        <w:r w:rsidR="00134368" w:rsidRPr="00DF204D">
          <w:rPr>
            <w:noProof/>
            <w:webHidden/>
          </w:rPr>
          <w:fldChar w:fldCharType="end"/>
        </w:r>
      </w:hyperlink>
    </w:p>
    <w:p w14:paraId="6D0530B2" w14:textId="565804A4" w:rsidR="00134368" w:rsidRDefault="008320CF" w:rsidP="00134368">
      <w:pPr>
        <w:pStyle w:val="TOC1"/>
        <w:rPr>
          <w:rFonts w:eastAsiaTheme="minorEastAsia"/>
          <w:noProof/>
          <w:color w:val="auto"/>
          <w:sz w:val="22"/>
          <w:szCs w:val="22"/>
          <w:lang w:eastAsia="en-GB"/>
        </w:rPr>
      </w:pPr>
      <w:hyperlink w:anchor="_Toc152597536" w:history="1">
        <w:r w:rsidR="00134368" w:rsidRPr="00A65019">
          <w:rPr>
            <w:rStyle w:val="Hyperlink"/>
            <w:noProof/>
          </w:rPr>
          <w:t>6.</w:t>
        </w:r>
        <w:r w:rsidR="00134368">
          <w:rPr>
            <w:rFonts w:eastAsiaTheme="minorEastAsia"/>
            <w:noProof/>
            <w:color w:val="auto"/>
            <w:sz w:val="22"/>
            <w:szCs w:val="22"/>
            <w:lang w:eastAsia="en-GB"/>
          </w:rPr>
          <w:tab/>
        </w:r>
        <w:r w:rsidR="00134368" w:rsidRPr="00A65019">
          <w:rPr>
            <w:rStyle w:val="Hyperlink"/>
            <w:noProof/>
          </w:rPr>
          <w:t>Policy Detail</w:t>
        </w:r>
        <w:r w:rsidR="00134368">
          <w:rPr>
            <w:noProof/>
            <w:webHidden/>
          </w:rPr>
          <w:tab/>
        </w:r>
        <w:r w:rsidR="00134368">
          <w:rPr>
            <w:noProof/>
            <w:webHidden/>
          </w:rPr>
          <w:fldChar w:fldCharType="begin"/>
        </w:r>
        <w:r w:rsidR="00134368">
          <w:rPr>
            <w:noProof/>
            <w:webHidden/>
          </w:rPr>
          <w:instrText xml:space="preserve"> PAGEREF _Toc152597536 \h </w:instrText>
        </w:r>
        <w:r w:rsidR="00134368">
          <w:rPr>
            <w:noProof/>
            <w:webHidden/>
          </w:rPr>
        </w:r>
        <w:r w:rsidR="00134368">
          <w:rPr>
            <w:noProof/>
            <w:webHidden/>
          </w:rPr>
          <w:fldChar w:fldCharType="separate"/>
        </w:r>
        <w:r w:rsidR="00134368">
          <w:rPr>
            <w:noProof/>
            <w:webHidden/>
          </w:rPr>
          <w:t>8</w:t>
        </w:r>
        <w:r w:rsidR="00134368">
          <w:rPr>
            <w:noProof/>
            <w:webHidden/>
          </w:rPr>
          <w:fldChar w:fldCharType="end"/>
        </w:r>
      </w:hyperlink>
    </w:p>
    <w:p w14:paraId="7B2A1ED0" w14:textId="57DC90F9" w:rsidR="00134368" w:rsidRPr="00DF204D" w:rsidRDefault="008320CF" w:rsidP="00134368">
      <w:pPr>
        <w:pStyle w:val="TOC2"/>
        <w:rPr>
          <w:rFonts w:eastAsiaTheme="minorEastAsia"/>
          <w:noProof/>
          <w:color w:val="auto"/>
          <w:sz w:val="22"/>
          <w:szCs w:val="22"/>
          <w:lang w:eastAsia="en-GB"/>
        </w:rPr>
      </w:pPr>
      <w:hyperlink w:anchor="_Toc152597537" w:history="1">
        <w:r w:rsidR="00134368" w:rsidRPr="00DF204D">
          <w:rPr>
            <w:rStyle w:val="Hyperlink"/>
            <w:noProof/>
          </w:rPr>
          <w:t>6.1.</w:t>
        </w:r>
        <w:r w:rsidR="00134368" w:rsidRPr="00DF204D">
          <w:rPr>
            <w:rFonts w:eastAsiaTheme="minorEastAsia"/>
            <w:noProof/>
            <w:color w:val="auto"/>
            <w:sz w:val="22"/>
            <w:szCs w:val="22"/>
            <w:lang w:eastAsia="en-GB"/>
          </w:rPr>
          <w:tab/>
        </w:r>
        <w:r w:rsidR="00134368" w:rsidRPr="00DF204D">
          <w:rPr>
            <w:rStyle w:val="Hyperlink"/>
            <w:noProof/>
          </w:rPr>
          <w:t>What concerns can I raise?</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_Toc152597537 \h </w:instrText>
        </w:r>
        <w:r w:rsidR="00134368" w:rsidRPr="00DF204D">
          <w:rPr>
            <w:noProof/>
            <w:webHidden/>
          </w:rPr>
        </w:r>
        <w:r w:rsidR="00134368" w:rsidRPr="00DF204D">
          <w:rPr>
            <w:noProof/>
            <w:webHidden/>
          </w:rPr>
          <w:fldChar w:fldCharType="separate"/>
        </w:r>
        <w:r w:rsidR="00134368" w:rsidRPr="00DF204D">
          <w:rPr>
            <w:noProof/>
            <w:webHidden/>
          </w:rPr>
          <w:t>8</w:t>
        </w:r>
        <w:r w:rsidR="00134368" w:rsidRPr="00DF204D">
          <w:rPr>
            <w:noProof/>
            <w:webHidden/>
          </w:rPr>
          <w:fldChar w:fldCharType="end"/>
        </w:r>
      </w:hyperlink>
    </w:p>
    <w:p w14:paraId="19ECFF09" w14:textId="119B29E5" w:rsidR="00134368" w:rsidRPr="00DF204D" w:rsidRDefault="008320CF" w:rsidP="00134368">
      <w:pPr>
        <w:pStyle w:val="TOC2"/>
        <w:rPr>
          <w:rFonts w:eastAsiaTheme="minorEastAsia"/>
          <w:noProof/>
          <w:color w:val="auto"/>
          <w:sz w:val="22"/>
          <w:szCs w:val="22"/>
          <w:lang w:eastAsia="en-GB"/>
        </w:rPr>
      </w:pPr>
      <w:hyperlink w:anchor="_Toc152597538" w:history="1">
        <w:r w:rsidR="00134368" w:rsidRPr="00DF204D">
          <w:rPr>
            <w:rStyle w:val="Hyperlink"/>
            <w:noProof/>
          </w:rPr>
          <w:t>6.2.</w:t>
        </w:r>
        <w:r w:rsidR="00134368" w:rsidRPr="00DF204D">
          <w:rPr>
            <w:rFonts w:eastAsiaTheme="minorEastAsia"/>
            <w:noProof/>
            <w:color w:val="auto"/>
            <w:sz w:val="22"/>
            <w:szCs w:val="22"/>
            <w:lang w:eastAsia="en-GB"/>
          </w:rPr>
          <w:tab/>
        </w:r>
        <w:r w:rsidR="00134368" w:rsidRPr="00DF204D">
          <w:rPr>
            <w:rStyle w:val="Hyperlink"/>
            <w:noProof/>
          </w:rPr>
          <w:t>Feel safe to raise your concerns</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_Toc152597538 \h </w:instrText>
        </w:r>
        <w:r w:rsidR="00134368" w:rsidRPr="00DF204D">
          <w:rPr>
            <w:noProof/>
            <w:webHidden/>
          </w:rPr>
        </w:r>
        <w:r w:rsidR="00134368" w:rsidRPr="00DF204D">
          <w:rPr>
            <w:noProof/>
            <w:webHidden/>
          </w:rPr>
          <w:fldChar w:fldCharType="separate"/>
        </w:r>
        <w:r w:rsidR="00134368" w:rsidRPr="00DF204D">
          <w:rPr>
            <w:noProof/>
            <w:webHidden/>
          </w:rPr>
          <w:t>9</w:t>
        </w:r>
        <w:r w:rsidR="00134368" w:rsidRPr="00DF204D">
          <w:rPr>
            <w:noProof/>
            <w:webHidden/>
          </w:rPr>
          <w:fldChar w:fldCharType="end"/>
        </w:r>
      </w:hyperlink>
    </w:p>
    <w:p w14:paraId="3400BE48" w14:textId="39748ECE" w:rsidR="00134368" w:rsidRPr="00DF204D" w:rsidRDefault="008320CF" w:rsidP="00134368">
      <w:pPr>
        <w:pStyle w:val="TOC2"/>
        <w:rPr>
          <w:rFonts w:eastAsiaTheme="minorEastAsia"/>
          <w:noProof/>
          <w:color w:val="auto"/>
          <w:sz w:val="22"/>
          <w:szCs w:val="22"/>
          <w:lang w:eastAsia="en-GB"/>
        </w:rPr>
      </w:pPr>
      <w:hyperlink w:anchor="_Toc152597539" w:history="1">
        <w:r w:rsidR="00134368" w:rsidRPr="00DF204D">
          <w:rPr>
            <w:rStyle w:val="Hyperlink"/>
            <w:noProof/>
          </w:rPr>
          <w:t>6.3.</w:t>
        </w:r>
        <w:r w:rsidR="00134368" w:rsidRPr="00DF204D">
          <w:rPr>
            <w:rFonts w:eastAsiaTheme="minorEastAsia"/>
            <w:noProof/>
            <w:color w:val="auto"/>
            <w:sz w:val="22"/>
            <w:szCs w:val="22"/>
            <w:lang w:eastAsia="en-GB"/>
          </w:rPr>
          <w:tab/>
        </w:r>
        <w:r w:rsidR="00134368" w:rsidRPr="00DF204D">
          <w:rPr>
            <w:rStyle w:val="Hyperlink"/>
            <w:noProof/>
          </w:rPr>
          <w:t>Confidentiality</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_Toc152597539 \h </w:instrText>
        </w:r>
        <w:r w:rsidR="00134368" w:rsidRPr="00DF204D">
          <w:rPr>
            <w:noProof/>
            <w:webHidden/>
          </w:rPr>
        </w:r>
        <w:r w:rsidR="00134368" w:rsidRPr="00DF204D">
          <w:rPr>
            <w:noProof/>
            <w:webHidden/>
          </w:rPr>
          <w:fldChar w:fldCharType="separate"/>
        </w:r>
        <w:r w:rsidR="00134368" w:rsidRPr="00DF204D">
          <w:rPr>
            <w:noProof/>
            <w:webHidden/>
          </w:rPr>
          <w:t>9</w:t>
        </w:r>
        <w:r w:rsidR="00134368" w:rsidRPr="00DF204D">
          <w:rPr>
            <w:noProof/>
            <w:webHidden/>
          </w:rPr>
          <w:fldChar w:fldCharType="end"/>
        </w:r>
      </w:hyperlink>
    </w:p>
    <w:p w14:paraId="2C9B9428" w14:textId="44F40AD7" w:rsidR="00134368" w:rsidRPr="00DF204D" w:rsidRDefault="008320CF" w:rsidP="00134368">
      <w:pPr>
        <w:pStyle w:val="TOC2"/>
        <w:rPr>
          <w:rFonts w:eastAsiaTheme="minorEastAsia"/>
          <w:noProof/>
          <w:color w:val="auto"/>
          <w:sz w:val="22"/>
          <w:szCs w:val="22"/>
          <w:lang w:eastAsia="en-GB"/>
        </w:rPr>
      </w:pPr>
      <w:hyperlink w:anchor="_Toc152597546" w:history="1">
        <w:r w:rsidR="00134368" w:rsidRPr="00DF204D">
          <w:rPr>
            <w:rStyle w:val="Hyperlink"/>
            <w:noProof/>
          </w:rPr>
          <w:t>6.4.</w:t>
        </w:r>
        <w:r w:rsidR="00134368" w:rsidRPr="00DF204D">
          <w:rPr>
            <w:rFonts w:eastAsiaTheme="minorEastAsia"/>
            <w:noProof/>
            <w:color w:val="auto"/>
            <w:sz w:val="22"/>
            <w:szCs w:val="22"/>
            <w:lang w:eastAsia="en-GB"/>
          </w:rPr>
          <w:tab/>
        </w:r>
        <w:r w:rsidR="00134368" w:rsidRPr="00DF204D">
          <w:rPr>
            <w:rStyle w:val="Hyperlink"/>
            <w:noProof/>
          </w:rPr>
          <w:t>Who can speak up?</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_Toc152597546 \h </w:instrText>
        </w:r>
        <w:r w:rsidR="00134368" w:rsidRPr="00DF204D">
          <w:rPr>
            <w:noProof/>
            <w:webHidden/>
          </w:rPr>
        </w:r>
        <w:r w:rsidR="00134368" w:rsidRPr="00DF204D">
          <w:rPr>
            <w:noProof/>
            <w:webHidden/>
          </w:rPr>
          <w:fldChar w:fldCharType="separate"/>
        </w:r>
        <w:r w:rsidR="00134368" w:rsidRPr="00DF204D">
          <w:rPr>
            <w:noProof/>
            <w:webHidden/>
          </w:rPr>
          <w:t>10</w:t>
        </w:r>
        <w:r w:rsidR="00134368" w:rsidRPr="00DF204D">
          <w:rPr>
            <w:noProof/>
            <w:webHidden/>
          </w:rPr>
          <w:fldChar w:fldCharType="end"/>
        </w:r>
      </w:hyperlink>
    </w:p>
    <w:p w14:paraId="678F9852" w14:textId="730CF53D" w:rsidR="00134368" w:rsidRPr="00DF204D" w:rsidRDefault="008320CF" w:rsidP="00134368">
      <w:pPr>
        <w:pStyle w:val="TOC2"/>
        <w:rPr>
          <w:rFonts w:eastAsiaTheme="minorEastAsia"/>
          <w:noProof/>
          <w:color w:val="auto"/>
          <w:sz w:val="22"/>
          <w:szCs w:val="22"/>
          <w:lang w:eastAsia="en-GB"/>
        </w:rPr>
      </w:pPr>
      <w:hyperlink w:anchor="_Toc152597547" w:history="1">
        <w:r w:rsidR="00134368" w:rsidRPr="00DF204D">
          <w:rPr>
            <w:rStyle w:val="Hyperlink"/>
            <w:noProof/>
          </w:rPr>
          <w:t>6.5.</w:t>
        </w:r>
        <w:r w:rsidR="00134368" w:rsidRPr="00DF204D">
          <w:rPr>
            <w:rFonts w:eastAsiaTheme="minorEastAsia"/>
            <w:noProof/>
            <w:color w:val="auto"/>
            <w:sz w:val="22"/>
            <w:szCs w:val="22"/>
            <w:lang w:eastAsia="en-GB"/>
          </w:rPr>
          <w:tab/>
        </w:r>
        <w:r w:rsidR="00134368" w:rsidRPr="00DF204D">
          <w:rPr>
            <w:rStyle w:val="Hyperlink"/>
            <w:noProof/>
          </w:rPr>
          <w:t>Who should I speak up to?</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_Toc152597547 \h </w:instrText>
        </w:r>
        <w:r w:rsidR="00134368" w:rsidRPr="00DF204D">
          <w:rPr>
            <w:noProof/>
            <w:webHidden/>
          </w:rPr>
        </w:r>
        <w:r w:rsidR="00134368" w:rsidRPr="00DF204D">
          <w:rPr>
            <w:noProof/>
            <w:webHidden/>
          </w:rPr>
          <w:fldChar w:fldCharType="separate"/>
        </w:r>
        <w:r w:rsidR="00134368" w:rsidRPr="00DF204D">
          <w:rPr>
            <w:noProof/>
            <w:webHidden/>
          </w:rPr>
          <w:t>10</w:t>
        </w:r>
        <w:r w:rsidR="00134368" w:rsidRPr="00DF204D">
          <w:rPr>
            <w:noProof/>
            <w:webHidden/>
          </w:rPr>
          <w:fldChar w:fldCharType="end"/>
        </w:r>
      </w:hyperlink>
    </w:p>
    <w:p w14:paraId="0AD3812C" w14:textId="653C99D7" w:rsidR="00134368" w:rsidRPr="00DF204D" w:rsidRDefault="008320CF" w:rsidP="00134368">
      <w:pPr>
        <w:pStyle w:val="TOC2"/>
        <w:rPr>
          <w:rFonts w:eastAsiaTheme="minorEastAsia"/>
          <w:noProof/>
          <w:color w:val="auto"/>
          <w:sz w:val="22"/>
          <w:szCs w:val="22"/>
          <w:lang w:eastAsia="en-GB"/>
        </w:rPr>
      </w:pPr>
      <w:hyperlink w:anchor="_Toc152597548" w:history="1">
        <w:r w:rsidR="00134368" w:rsidRPr="00DF204D">
          <w:rPr>
            <w:rStyle w:val="Hyperlink"/>
            <w:noProof/>
          </w:rPr>
          <w:t>6.6.</w:t>
        </w:r>
        <w:r w:rsidR="00134368" w:rsidRPr="00DF204D">
          <w:rPr>
            <w:rFonts w:eastAsiaTheme="minorEastAsia"/>
            <w:noProof/>
            <w:color w:val="auto"/>
            <w:sz w:val="22"/>
            <w:szCs w:val="22"/>
            <w:lang w:eastAsia="en-GB"/>
          </w:rPr>
          <w:tab/>
        </w:r>
        <w:r w:rsidR="00134368" w:rsidRPr="00DF204D">
          <w:rPr>
            <w:rStyle w:val="Hyperlink"/>
            <w:noProof/>
          </w:rPr>
          <w:t>Advice and support</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_Toc152597548 \h </w:instrText>
        </w:r>
        <w:r w:rsidR="00134368" w:rsidRPr="00DF204D">
          <w:rPr>
            <w:noProof/>
            <w:webHidden/>
          </w:rPr>
        </w:r>
        <w:r w:rsidR="00134368" w:rsidRPr="00DF204D">
          <w:rPr>
            <w:noProof/>
            <w:webHidden/>
          </w:rPr>
          <w:fldChar w:fldCharType="separate"/>
        </w:r>
        <w:r w:rsidR="00134368" w:rsidRPr="00DF204D">
          <w:rPr>
            <w:noProof/>
            <w:webHidden/>
          </w:rPr>
          <w:t>1</w:t>
        </w:r>
        <w:r w:rsidR="008826D3">
          <w:rPr>
            <w:noProof/>
            <w:webHidden/>
          </w:rPr>
          <w:t>2</w:t>
        </w:r>
        <w:r w:rsidR="00134368" w:rsidRPr="00DF204D">
          <w:rPr>
            <w:noProof/>
            <w:webHidden/>
          </w:rPr>
          <w:fldChar w:fldCharType="end"/>
        </w:r>
      </w:hyperlink>
    </w:p>
    <w:p w14:paraId="6F0F205E" w14:textId="0CE714D9" w:rsidR="00134368" w:rsidRPr="00DF204D" w:rsidRDefault="008320CF" w:rsidP="00134368">
      <w:pPr>
        <w:pStyle w:val="TOC2"/>
        <w:rPr>
          <w:rFonts w:eastAsiaTheme="minorEastAsia"/>
          <w:noProof/>
          <w:color w:val="auto"/>
          <w:sz w:val="22"/>
          <w:szCs w:val="22"/>
          <w:lang w:eastAsia="en-GB"/>
        </w:rPr>
      </w:pPr>
      <w:hyperlink w:anchor="_Toc152597549" w:history="1">
        <w:r w:rsidR="00134368" w:rsidRPr="00DF204D">
          <w:rPr>
            <w:rStyle w:val="Hyperlink"/>
            <w:noProof/>
          </w:rPr>
          <w:t>6.7.</w:t>
        </w:r>
        <w:r w:rsidR="00134368" w:rsidRPr="00DF204D">
          <w:rPr>
            <w:rFonts w:eastAsiaTheme="minorEastAsia"/>
            <w:noProof/>
            <w:color w:val="auto"/>
            <w:sz w:val="22"/>
            <w:szCs w:val="22"/>
            <w:lang w:eastAsia="en-GB"/>
          </w:rPr>
          <w:tab/>
        </w:r>
        <w:r w:rsidR="00134368" w:rsidRPr="00DF204D">
          <w:rPr>
            <w:rStyle w:val="Hyperlink"/>
            <w:noProof/>
          </w:rPr>
          <w:t>How should I raise my concern?</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_Toc152597549 \h </w:instrText>
        </w:r>
        <w:r w:rsidR="00134368" w:rsidRPr="00DF204D">
          <w:rPr>
            <w:noProof/>
            <w:webHidden/>
          </w:rPr>
        </w:r>
        <w:r w:rsidR="00134368" w:rsidRPr="00DF204D">
          <w:rPr>
            <w:noProof/>
            <w:webHidden/>
          </w:rPr>
          <w:fldChar w:fldCharType="separate"/>
        </w:r>
        <w:r w:rsidR="00134368" w:rsidRPr="00DF204D">
          <w:rPr>
            <w:noProof/>
            <w:webHidden/>
          </w:rPr>
          <w:t>1</w:t>
        </w:r>
        <w:r w:rsidR="008826D3">
          <w:rPr>
            <w:noProof/>
            <w:webHidden/>
          </w:rPr>
          <w:t>2</w:t>
        </w:r>
        <w:r w:rsidR="00134368" w:rsidRPr="00DF204D">
          <w:rPr>
            <w:noProof/>
            <w:webHidden/>
          </w:rPr>
          <w:fldChar w:fldCharType="end"/>
        </w:r>
      </w:hyperlink>
    </w:p>
    <w:p w14:paraId="32599682" w14:textId="568D4571" w:rsidR="00134368" w:rsidRPr="00DF204D" w:rsidRDefault="008320CF" w:rsidP="00134368">
      <w:pPr>
        <w:pStyle w:val="TOC2"/>
        <w:rPr>
          <w:rFonts w:eastAsiaTheme="minorEastAsia"/>
          <w:noProof/>
          <w:color w:val="auto"/>
          <w:sz w:val="22"/>
          <w:szCs w:val="22"/>
          <w:lang w:eastAsia="en-GB"/>
        </w:rPr>
      </w:pPr>
      <w:hyperlink w:anchor="_Toc152597550" w:history="1">
        <w:r w:rsidR="00134368" w:rsidRPr="00DF204D">
          <w:rPr>
            <w:rStyle w:val="Hyperlink"/>
            <w:noProof/>
          </w:rPr>
          <w:t>6.8.</w:t>
        </w:r>
        <w:r w:rsidR="00134368" w:rsidRPr="00DF204D">
          <w:rPr>
            <w:rFonts w:eastAsiaTheme="minorEastAsia"/>
            <w:noProof/>
            <w:color w:val="auto"/>
            <w:sz w:val="22"/>
            <w:szCs w:val="22"/>
            <w:lang w:eastAsia="en-GB"/>
          </w:rPr>
          <w:tab/>
        </w:r>
        <w:r w:rsidR="00134368" w:rsidRPr="00DF204D">
          <w:rPr>
            <w:rStyle w:val="Hyperlink"/>
            <w:noProof/>
          </w:rPr>
          <w:t>What will we do?</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_Toc152597550 \h </w:instrText>
        </w:r>
        <w:r w:rsidR="00134368" w:rsidRPr="00DF204D">
          <w:rPr>
            <w:noProof/>
            <w:webHidden/>
          </w:rPr>
        </w:r>
        <w:r w:rsidR="00134368" w:rsidRPr="00DF204D">
          <w:rPr>
            <w:noProof/>
            <w:webHidden/>
          </w:rPr>
          <w:fldChar w:fldCharType="separate"/>
        </w:r>
        <w:r w:rsidR="00134368" w:rsidRPr="00DF204D">
          <w:rPr>
            <w:noProof/>
            <w:webHidden/>
          </w:rPr>
          <w:t>1</w:t>
        </w:r>
        <w:r w:rsidR="008826D3">
          <w:rPr>
            <w:noProof/>
            <w:webHidden/>
          </w:rPr>
          <w:t>2</w:t>
        </w:r>
        <w:r w:rsidR="00134368" w:rsidRPr="00DF204D">
          <w:rPr>
            <w:noProof/>
            <w:webHidden/>
          </w:rPr>
          <w:fldChar w:fldCharType="end"/>
        </w:r>
      </w:hyperlink>
    </w:p>
    <w:p w14:paraId="31EFC37B" w14:textId="622EF3D7" w:rsidR="00134368" w:rsidRPr="00DF204D" w:rsidRDefault="008320CF" w:rsidP="00134368">
      <w:pPr>
        <w:pStyle w:val="TOC2"/>
        <w:rPr>
          <w:rFonts w:eastAsiaTheme="minorEastAsia"/>
          <w:noProof/>
          <w:color w:val="auto"/>
          <w:sz w:val="22"/>
          <w:szCs w:val="22"/>
          <w:lang w:eastAsia="en-GB"/>
        </w:rPr>
      </w:pPr>
      <w:hyperlink w:anchor="_Toc152597551" w:history="1">
        <w:r w:rsidR="00134368" w:rsidRPr="00DF204D">
          <w:rPr>
            <w:rStyle w:val="Hyperlink"/>
            <w:noProof/>
          </w:rPr>
          <w:t>6.9.</w:t>
        </w:r>
        <w:r w:rsidR="00134368" w:rsidRPr="00DF204D">
          <w:rPr>
            <w:rFonts w:eastAsiaTheme="minorEastAsia"/>
            <w:noProof/>
            <w:color w:val="auto"/>
            <w:sz w:val="22"/>
            <w:szCs w:val="22"/>
            <w:lang w:eastAsia="en-GB"/>
          </w:rPr>
          <w:tab/>
        </w:r>
        <w:r w:rsidR="00134368" w:rsidRPr="00DF204D">
          <w:rPr>
            <w:rStyle w:val="Hyperlink"/>
            <w:noProof/>
          </w:rPr>
          <w:t>Making a protected disclosure</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_Toc152597551 \h </w:instrText>
        </w:r>
        <w:r w:rsidR="00134368" w:rsidRPr="00DF204D">
          <w:rPr>
            <w:noProof/>
            <w:webHidden/>
          </w:rPr>
        </w:r>
        <w:r w:rsidR="00134368" w:rsidRPr="00DF204D">
          <w:rPr>
            <w:noProof/>
            <w:webHidden/>
          </w:rPr>
          <w:fldChar w:fldCharType="separate"/>
        </w:r>
        <w:r w:rsidR="00134368" w:rsidRPr="00DF204D">
          <w:rPr>
            <w:noProof/>
            <w:webHidden/>
          </w:rPr>
          <w:t>1</w:t>
        </w:r>
        <w:r w:rsidR="008826D3">
          <w:rPr>
            <w:noProof/>
            <w:webHidden/>
          </w:rPr>
          <w:t>4</w:t>
        </w:r>
        <w:r w:rsidR="00134368" w:rsidRPr="00DF204D">
          <w:rPr>
            <w:noProof/>
            <w:webHidden/>
          </w:rPr>
          <w:fldChar w:fldCharType="end"/>
        </w:r>
      </w:hyperlink>
    </w:p>
    <w:p w14:paraId="562B1FBF" w14:textId="397980A7" w:rsidR="00134368" w:rsidRPr="00DF204D" w:rsidRDefault="008320CF" w:rsidP="00134368">
      <w:pPr>
        <w:pStyle w:val="TOC2"/>
        <w:rPr>
          <w:rFonts w:eastAsiaTheme="minorEastAsia"/>
          <w:noProof/>
          <w:color w:val="auto"/>
          <w:sz w:val="22"/>
          <w:szCs w:val="22"/>
          <w:lang w:eastAsia="en-GB"/>
        </w:rPr>
      </w:pPr>
      <w:hyperlink w:anchor="_Toc152597552" w:history="1">
        <w:r w:rsidR="00134368" w:rsidRPr="00DF204D">
          <w:rPr>
            <w:rStyle w:val="Hyperlink"/>
            <w:noProof/>
          </w:rPr>
          <w:t>6.10.</w:t>
        </w:r>
        <w:r w:rsidR="00134368" w:rsidRPr="00DF204D">
          <w:rPr>
            <w:rFonts w:eastAsiaTheme="minorEastAsia"/>
            <w:noProof/>
            <w:color w:val="auto"/>
            <w:sz w:val="22"/>
            <w:szCs w:val="22"/>
            <w:lang w:eastAsia="en-GB"/>
          </w:rPr>
          <w:tab/>
        </w:r>
        <w:r w:rsidR="00134368" w:rsidRPr="00DF204D">
          <w:rPr>
            <w:rStyle w:val="Hyperlink"/>
            <w:noProof/>
          </w:rPr>
          <w:t>National Guardian’s Office</w:t>
        </w:r>
        <w:r w:rsidR="00134368" w:rsidRPr="00DF204D">
          <w:rPr>
            <w:noProof/>
            <w:webHidden/>
          </w:rPr>
          <w:tab/>
        </w:r>
        <w:r w:rsidR="00134368" w:rsidRPr="00DF204D">
          <w:rPr>
            <w:noProof/>
            <w:webHidden/>
          </w:rPr>
          <w:fldChar w:fldCharType="begin"/>
        </w:r>
        <w:r w:rsidR="00134368" w:rsidRPr="00DF204D">
          <w:rPr>
            <w:noProof/>
            <w:webHidden/>
          </w:rPr>
          <w:instrText xml:space="preserve"> PAGEREF _Toc152597552 \h </w:instrText>
        </w:r>
        <w:r w:rsidR="00134368" w:rsidRPr="00DF204D">
          <w:rPr>
            <w:noProof/>
            <w:webHidden/>
          </w:rPr>
        </w:r>
        <w:r w:rsidR="00134368" w:rsidRPr="00DF204D">
          <w:rPr>
            <w:noProof/>
            <w:webHidden/>
          </w:rPr>
          <w:fldChar w:fldCharType="separate"/>
        </w:r>
        <w:r w:rsidR="00134368" w:rsidRPr="00DF204D">
          <w:rPr>
            <w:noProof/>
            <w:webHidden/>
          </w:rPr>
          <w:t>1</w:t>
        </w:r>
        <w:r w:rsidR="008826D3">
          <w:rPr>
            <w:noProof/>
            <w:webHidden/>
          </w:rPr>
          <w:t>4</w:t>
        </w:r>
        <w:r w:rsidR="00134368" w:rsidRPr="00DF204D">
          <w:rPr>
            <w:noProof/>
            <w:webHidden/>
          </w:rPr>
          <w:fldChar w:fldCharType="end"/>
        </w:r>
      </w:hyperlink>
    </w:p>
    <w:p w14:paraId="4F6DC8F7" w14:textId="55B4A8B6" w:rsidR="00134368" w:rsidRDefault="008320CF" w:rsidP="00134368">
      <w:pPr>
        <w:pStyle w:val="TOC1"/>
        <w:rPr>
          <w:rFonts w:eastAsiaTheme="minorEastAsia"/>
          <w:noProof/>
          <w:color w:val="auto"/>
          <w:sz w:val="22"/>
          <w:szCs w:val="22"/>
          <w:lang w:eastAsia="en-GB"/>
        </w:rPr>
      </w:pPr>
      <w:hyperlink w:anchor="_Toc152597553" w:history="1">
        <w:r w:rsidR="00134368" w:rsidRPr="00A65019">
          <w:rPr>
            <w:rStyle w:val="Hyperlink"/>
            <w:noProof/>
          </w:rPr>
          <w:t>7.</w:t>
        </w:r>
        <w:r w:rsidR="00134368">
          <w:rPr>
            <w:rFonts w:eastAsiaTheme="minorEastAsia"/>
            <w:noProof/>
            <w:color w:val="auto"/>
            <w:sz w:val="22"/>
            <w:szCs w:val="22"/>
            <w:lang w:eastAsia="en-GB"/>
          </w:rPr>
          <w:tab/>
        </w:r>
        <w:r w:rsidR="00134368" w:rsidRPr="00A65019">
          <w:rPr>
            <w:rStyle w:val="Hyperlink"/>
            <w:noProof/>
          </w:rPr>
          <w:t>Monitoring Compliance</w:t>
        </w:r>
        <w:r w:rsidR="00134368">
          <w:rPr>
            <w:noProof/>
            <w:webHidden/>
          </w:rPr>
          <w:tab/>
        </w:r>
        <w:r w:rsidR="00134368">
          <w:rPr>
            <w:noProof/>
            <w:webHidden/>
          </w:rPr>
          <w:fldChar w:fldCharType="begin"/>
        </w:r>
        <w:r w:rsidR="00134368">
          <w:rPr>
            <w:noProof/>
            <w:webHidden/>
          </w:rPr>
          <w:instrText xml:space="preserve"> PAGEREF _Toc152597553 \h </w:instrText>
        </w:r>
        <w:r w:rsidR="00134368">
          <w:rPr>
            <w:noProof/>
            <w:webHidden/>
          </w:rPr>
        </w:r>
        <w:r w:rsidR="00134368">
          <w:rPr>
            <w:noProof/>
            <w:webHidden/>
          </w:rPr>
          <w:fldChar w:fldCharType="separate"/>
        </w:r>
        <w:r w:rsidR="00134368">
          <w:rPr>
            <w:noProof/>
            <w:webHidden/>
          </w:rPr>
          <w:t>1</w:t>
        </w:r>
        <w:r w:rsidR="008826D3">
          <w:rPr>
            <w:noProof/>
            <w:webHidden/>
          </w:rPr>
          <w:t>4</w:t>
        </w:r>
        <w:r w:rsidR="00134368">
          <w:rPr>
            <w:noProof/>
            <w:webHidden/>
          </w:rPr>
          <w:fldChar w:fldCharType="end"/>
        </w:r>
      </w:hyperlink>
    </w:p>
    <w:p w14:paraId="41C378C2" w14:textId="7249DC23" w:rsidR="00134368" w:rsidRDefault="008320CF" w:rsidP="00134368">
      <w:pPr>
        <w:pStyle w:val="TOC1"/>
        <w:rPr>
          <w:rFonts w:eastAsiaTheme="minorEastAsia"/>
          <w:noProof/>
          <w:color w:val="auto"/>
          <w:sz w:val="22"/>
          <w:szCs w:val="22"/>
          <w:lang w:eastAsia="en-GB"/>
        </w:rPr>
      </w:pPr>
      <w:hyperlink w:anchor="_Toc152597554" w:history="1">
        <w:r w:rsidR="00134368" w:rsidRPr="00A65019">
          <w:rPr>
            <w:rStyle w:val="Hyperlink"/>
            <w:noProof/>
          </w:rPr>
          <w:t>8.</w:t>
        </w:r>
        <w:r w:rsidR="00134368">
          <w:rPr>
            <w:rFonts w:eastAsiaTheme="minorEastAsia"/>
            <w:noProof/>
            <w:color w:val="auto"/>
            <w:sz w:val="22"/>
            <w:szCs w:val="22"/>
            <w:lang w:eastAsia="en-GB"/>
          </w:rPr>
          <w:tab/>
        </w:r>
        <w:r w:rsidR="00134368" w:rsidRPr="00A65019">
          <w:rPr>
            <w:rStyle w:val="Hyperlink"/>
            <w:noProof/>
          </w:rPr>
          <w:t>Staff Training</w:t>
        </w:r>
        <w:r w:rsidR="00134368">
          <w:rPr>
            <w:noProof/>
            <w:webHidden/>
          </w:rPr>
          <w:tab/>
        </w:r>
        <w:r w:rsidR="00134368">
          <w:rPr>
            <w:noProof/>
            <w:webHidden/>
          </w:rPr>
          <w:fldChar w:fldCharType="begin"/>
        </w:r>
        <w:r w:rsidR="00134368">
          <w:rPr>
            <w:noProof/>
            <w:webHidden/>
          </w:rPr>
          <w:instrText xml:space="preserve"> PAGEREF _Toc152597554 \h </w:instrText>
        </w:r>
        <w:r w:rsidR="00134368">
          <w:rPr>
            <w:noProof/>
            <w:webHidden/>
          </w:rPr>
        </w:r>
        <w:r w:rsidR="00134368">
          <w:rPr>
            <w:noProof/>
            <w:webHidden/>
          </w:rPr>
          <w:fldChar w:fldCharType="separate"/>
        </w:r>
        <w:r w:rsidR="00134368">
          <w:rPr>
            <w:noProof/>
            <w:webHidden/>
          </w:rPr>
          <w:t>1</w:t>
        </w:r>
        <w:r w:rsidR="008826D3">
          <w:rPr>
            <w:noProof/>
            <w:webHidden/>
          </w:rPr>
          <w:t>4</w:t>
        </w:r>
        <w:r w:rsidR="00134368">
          <w:rPr>
            <w:noProof/>
            <w:webHidden/>
          </w:rPr>
          <w:fldChar w:fldCharType="end"/>
        </w:r>
      </w:hyperlink>
    </w:p>
    <w:p w14:paraId="02FC79D4" w14:textId="03DF6DFD" w:rsidR="00134368" w:rsidRDefault="008320CF" w:rsidP="00134368">
      <w:pPr>
        <w:pStyle w:val="TOC1"/>
        <w:rPr>
          <w:rFonts w:eastAsiaTheme="minorEastAsia"/>
          <w:noProof/>
          <w:color w:val="auto"/>
          <w:sz w:val="22"/>
          <w:szCs w:val="22"/>
          <w:lang w:eastAsia="en-GB"/>
        </w:rPr>
      </w:pPr>
      <w:hyperlink w:anchor="_Toc152597555" w:history="1">
        <w:r w:rsidR="00134368" w:rsidRPr="00A65019">
          <w:rPr>
            <w:rStyle w:val="Hyperlink"/>
            <w:noProof/>
          </w:rPr>
          <w:t>9.</w:t>
        </w:r>
        <w:r w:rsidR="00134368">
          <w:rPr>
            <w:rFonts w:eastAsiaTheme="minorEastAsia"/>
            <w:noProof/>
            <w:color w:val="auto"/>
            <w:sz w:val="22"/>
            <w:szCs w:val="22"/>
            <w:lang w:eastAsia="en-GB"/>
          </w:rPr>
          <w:tab/>
        </w:r>
        <w:r w:rsidR="00134368" w:rsidRPr="00A65019">
          <w:rPr>
            <w:rStyle w:val="Hyperlink"/>
            <w:noProof/>
          </w:rPr>
          <w:t>Arrangements for Review</w:t>
        </w:r>
        <w:r w:rsidR="00134368">
          <w:rPr>
            <w:noProof/>
            <w:webHidden/>
          </w:rPr>
          <w:tab/>
        </w:r>
        <w:r w:rsidR="00134368">
          <w:rPr>
            <w:noProof/>
            <w:webHidden/>
          </w:rPr>
          <w:fldChar w:fldCharType="begin"/>
        </w:r>
        <w:r w:rsidR="00134368">
          <w:rPr>
            <w:noProof/>
            <w:webHidden/>
          </w:rPr>
          <w:instrText xml:space="preserve"> PAGEREF _Toc152597555 \h </w:instrText>
        </w:r>
        <w:r w:rsidR="00134368">
          <w:rPr>
            <w:noProof/>
            <w:webHidden/>
          </w:rPr>
        </w:r>
        <w:r w:rsidR="00134368">
          <w:rPr>
            <w:noProof/>
            <w:webHidden/>
          </w:rPr>
          <w:fldChar w:fldCharType="separate"/>
        </w:r>
        <w:r w:rsidR="00134368">
          <w:rPr>
            <w:noProof/>
            <w:webHidden/>
          </w:rPr>
          <w:t>1</w:t>
        </w:r>
        <w:r w:rsidR="00B44DBA">
          <w:rPr>
            <w:noProof/>
            <w:webHidden/>
          </w:rPr>
          <w:t>5</w:t>
        </w:r>
        <w:r w:rsidR="00134368">
          <w:rPr>
            <w:noProof/>
            <w:webHidden/>
          </w:rPr>
          <w:fldChar w:fldCharType="end"/>
        </w:r>
      </w:hyperlink>
    </w:p>
    <w:p w14:paraId="2ADA7B34" w14:textId="4FF1AE4D" w:rsidR="00134368" w:rsidRDefault="008320CF" w:rsidP="00134368">
      <w:pPr>
        <w:pStyle w:val="TOC1"/>
        <w:rPr>
          <w:rFonts w:eastAsiaTheme="minorEastAsia"/>
          <w:noProof/>
          <w:color w:val="auto"/>
          <w:sz w:val="22"/>
          <w:szCs w:val="22"/>
          <w:lang w:eastAsia="en-GB"/>
        </w:rPr>
      </w:pPr>
      <w:hyperlink w:anchor="_Toc152597556" w:history="1">
        <w:r w:rsidR="00134368" w:rsidRPr="00A65019">
          <w:rPr>
            <w:rStyle w:val="Hyperlink"/>
            <w:noProof/>
          </w:rPr>
          <w:t>10.</w:t>
        </w:r>
        <w:r w:rsidR="00134368">
          <w:rPr>
            <w:rFonts w:eastAsiaTheme="minorEastAsia"/>
            <w:noProof/>
            <w:color w:val="auto"/>
            <w:sz w:val="22"/>
            <w:szCs w:val="22"/>
            <w:lang w:eastAsia="en-GB"/>
          </w:rPr>
          <w:tab/>
        </w:r>
        <w:r w:rsidR="00134368" w:rsidRPr="00A65019">
          <w:rPr>
            <w:rStyle w:val="Hyperlink"/>
            <w:noProof/>
          </w:rPr>
          <w:t>Associated Policies, Guidance and Documents</w:t>
        </w:r>
        <w:r w:rsidR="00134368">
          <w:rPr>
            <w:noProof/>
            <w:webHidden/>
          </w:rPr>
          <w:tab/>
        </w:r>
        <w:r w:rsidR="00134368">
          <w:rPr>
            <w:noProof/>
            <w:webHidden/>
          </w:rPr>
          <w:fldChar w:fldCharType="begin"/>
        </w:r>
        <w:r w:rsidR="00134368">
          <w:rPr>
            <w:noProof/>
            <w:webHidden/>
          </w:rPr>
          <w:instrText xml:space="preserve"> PAGEREF _Toc152597556 \h </w:instrText>
        </w:r>
        <w:r w:rsidR="00134368">
          <w:rPr>
            <w:noProof/>
            <w:webHidden/>
          </w:rPr>
        </w:r>
        <w:r w:rsidR="00134368">
          <w:rPr>
            <w:noProof/>
            <w:webHidden/>
          </w:rPr>
          <w:fldChar w:fldCharType="separate"/>
        </w:r>
        <w:r w:rsidR="00134368">
          <w:rPr>
            <w:noProof/>
            <w:webHidden/>
          </w:rPr>
          <w:t>1</w:t>
        </w:r>
        <w:r w:rsidR="00B44DBA">
          <w:rPr>
            <w:noProof/>
            <w:webHidden/>
          </w:rPr>
          <w:t>5</w:t>
        </w:r>
        <w:r w:rsidR="00134368">
          <w:rPr>
            <w:noProof/>
            <w:webHidden/>
          </w:rPr>
          <w:fldChar w:fldCharType="end"/>
        </w:r>
      </w:hyperlink>
    </w:p>
    <w:p w14:paraId="1AB554C9" w14:textId="1702A5F4" w:rsidR="00134368" w:rsidRDefault="008320CF" w:rsidP="00134368">
      <w:pPr>
        <w:pStyle w:val="TOC1"/>
        <w:rPr>
          <w:rFonts w:eastAsiaTheme="minorEastAsia"/>
          <w:noProof/>
          <w:color w:val="auto"/>
          <w:sz w:val="22"/>
          <w:szCs w:val="22"/>
          <w:lang w:eastAsia="en-GB"/>
        </w:rPr>
      </w:pPr>
      <w:hyperlink w:anchor="_Toc152597557" w:history="1">
        <w:r w:rsidR="00134368" w:rsidRPr="00A65019">
          <w:rPr>
            <w:rStyle w:val="Hyperlink"/>
            <w:noProof/>
          </w:rPr>
          <w:t>11.</w:t>
        </w:r>
        <w:r w:rsidR="00134368">
          <w:rPr>
            <w:rFonts w:eastAsiaTheme="minorEastAsia"/>
            <w:noProof/>
            <w:color w:val="auto"/>
            <w:sz w:val="22"/>
            <w:szCs w:val="22"/>
            <w:lang w:eastAsia="en-GB"/>
          </w:rPr>
          <w:tab/>
        </w:r>
        <w:r w:rsidR="00134368" w:rsidRPr="00A65019">
          <w:rPr>
            <w:rStyle w:val="Hyperlink"/>
            <w:noProof/>
          </w:rPr>
          <w:t>References</w:t>
        </w:r>
        <w:r w:rsidR="00134368">
          <w:rPr>
            <w:noProof/>
            <w:webHidden/>
          </w:rPr>
          <w:tab/>
        </w:r>
        <w:r w:rsidR="00134368">
          <w:rPr>
            <w:noProof/>
            <w:webHidden/>
          </w:rPr>
          <w:fldChar w:fldCharType="begin"/>
        </w:r>
        <w:r w:rsidR="00134368">
          <w:rPr>
            <w:noProof/>
            <w:webHidden/>
          </w:rPr>
          <w:instrText xml:space="preserve"> PAGEREF _Toc152597557 \h </w:instrText>
        </w:r>
        <w:r w:rsidR="00134368">
          <w:rPr>
            <w:noProof/>
            <w:webHidden/>
          </w:rPr>
        </w:r>
        <w:r w:rsidR="00134368">
          <w:rPr>
            <w:noProof/>
            <w:webHidden/>
          </w:rPr>
          <w:fldChar w:fldCharType="separate"/>
        </w:r>
        <w:r w:rsidR="00134368">
          <w:rPr>
            <w:noProof/>
            <w:webHidden/>
          </w:rPr>
          <w:t>1</w:t>
        </w:r>
        <w:r w:rsidR="00B44DBA">
          <w:rPr>
            <w:noProof/>
            <w:webHidden/>
          </w:rPr>
          <w:t>5</w:t>
        </w:r>
        <w:r w:rsidR="00134368">
          <w:rPr>
            <w:noProof/>
            <w:webHidden/>
          </w:rPr>
          <w:fldChar w:fldCharType="end"/>
        </w:r>
      </w:hyperlink>
    </w:p>
    <w:p w14:paraId="398253CC" w14:textId="6AB47FEC" w:rsidR="00134368" w:rsidRDefault="008320CF" w:rsidP="00134368">
      <w:pPr>
        <w:pStyle w:val="TOC1"/>
        <w:rPr>
          <w:rFonts w:eastAsiaTheme="minorEastAsia"/>
          <w:noProof/>
          <w:color w:val="auto"/>
          <w:sz w:val="22"/>
          <w:szCs w:val="22"/>
          <w:lang w:eastAsia="en-GB"/>
        </w:rPr>
      </w:pPr>
      <w:hyperlink w:anchor="_Toc152597558" w:history="1">
        <w:r w:rsidR="00134368" w:rsidRPr="00A65019">
          <w:rPr>
            <w:rStyle w:val="Hyperlink"/>
            <w:noProof/>
          </w:rPr>
          <w:t>12.</w:t>
        </w:r>
        <w:r w:rsidR="00134368">
          <w:rPr>
            <w:rFonts w:eastAsiaTheme="minorEastAsia"/>
            <w:noProof/>
            <w:color w:val="auto"/>
            <w:sz w:val="22"/>
            <w:szCs w:val="22"/>
            <w:lang w:eastAsia="en-GB"/>
          </w:rPr>
          <w:tab/>
        </w:r>
        <w:r w:rsidR="00134368" w:rsidRPr="00A65019">
          <w:rPr>
            <w:rStyle w:val="Hyperlink"/>
            <w:noProof/>
          </w:rPr>
          <w:t>Equality Impact Assessment</w:t>
        </w:r>
        <w:r w:rsidR="00134368">
          <w:rPr>
            <w:noProof/>
            <w:webHidden/>
          </w:rPr>
          <w:tab/>
        </w:r>
        <w:r w:rsidR="00134368">
          <w:rPr>
            <w:noProof/>
            <w:webHidden/>
          </w:rPr>
          <w:fldChar w:fldCharType="begin"/>
        </w:r>
        <w:r w:rsidR="00134368">
          <w:rPr>
            <w:noProof/>
            <w:webHidden/>
          </w:rPr>
          <w:instrText xml:space="preserve"> PAGEREF _Toc152597558 \h </w:instrText>
        </w:r>
        <w:r w:rsidR="00134368">
          <w:rPr>
            <w:noProof/>
            <w:webHidden/>
          </w:rPr>
        </w:r>
        <w:r w:rsidR="00134368">
          <w:rPr>
            <w:noProof/>
            <w:webHidden/>
          </w:rPr>
          <w:fldChar w:fldCharType="separate"/>
        </w:r>
        <w:r w:rsidR="00134368">
          <w:rPr>
            <w:noProof/>
            <w:webHidden/>
          </w:rPr>
          <w:t>1</w:t>
        </w:r>
        <w:r w:rsidR="00B44DBA">
          <w:rPr>
            <w:noProof/>
            <w:webHidden/>
          </w:rPr>
          <w:t>5</w:t>
        </w:r>
        <w:r w:rsidR="00134368">
          <w:rPr>
            <w:noProof/>
            <w:webHidden/>
          </w:rPr>
          <w:fldChar w:fldCharType="end"/>
        </w:r>
      </w:hyperlink>
    </w:p>
    <w:p w14:paraId="57D59C77" w14:textId="7D23BF66" w:rsidR="00134368" w:rsidRDefault="008320CF" w:rsidP="00134368">
      <w:pPr>
        <w:pStyle w:val="TOC1"/>
        <w:rPr>
          <w:rFonts w:eastAsiaTheme="minorEastAsia"/>
          <w:noProof/>
          <w:color w:val="auto"/>
          <w:sz w:val="22"/>
          <w:szCs w:val="22"/>
          <w:lang w:eastAsia="en-GB"/>
        </w:rPr>
      </w:pPr>
      <w:hyperlink w:anchor="_Toc152597559" w:history="1">
        <w:r w:rsidR="00134368" w:rsidRPr="00A65019">
          <w:rPr>
            <w:rStyle w:val="Hyperlink"/>
            <w:noProof/>
          </w:rPr>
          <w:t xml:space="preserve">Appendix A </w:t>
        </w:r>
        <w:r w:rsidR="00DF204D">
          <w:rPr>
            <w:rStyle w:val="Hyperlink"/>
            <w:noProof/>
          </w:rPr>
          <w:t xml:space="preserve">– </w:t>
        </w:r>
        <w:r w:rsidR="00134368" w:rsidRPr="00A65019">
          <w:rPr>
            <w:rStyle w:val="Hyperlink"/>
            <w:noProof/>
          </w:rPr>
          <w:t>Equality Impact Assessment</w:t>
        </w:r>
        <w:r w:rsidR="00134368">
          <w:rPr>
            <w:noProof/>
            <w:webHidden/>
          </w:rPr>
          <w:tab/>
        </w:r>
        <w:r w:rsidR="00134368">
          <w:rPr>
            <w:noProof/>
            <w:webHidden/>
          </w:rPr>
          <w:fldChar w:fldCharType="begin"/>
        </w:r>
        <w:r w:rsidR="00134368">
          <w:rPr>
            <w:noProof/>
            <w:webHidden/>
          </w:rPr>
          <w:instrText xml:space="preserve"> PAGEREF _Toc152597559 \h </w:instrText>
        </w:r>
        <w:r w:rsidR="00134368">
          <w:rPr>
            <w:noProof/>
            <w:webHidden/>
          </w:rPr>
        </w:r>
        <w:r w:rsidR="00134368">
          <w:rPr>
            <w:noProof/>
            <w:webHidden/>
          </w:rPr>
          <w:fldChar w:fldCharType="separate"/>
        </w:r>
        <w:r w:rsidR="00134368">
          <w:rPr>
            <w:noProof/>
            <w:webHidden/>
          </w:rPr>
          <w:t>1</w:t>
        </w:r>
        <w:r w:rsidR="00134368">
          <w:rPr>
            <w:noProof/>
            <w:webHidden/>
          </w:rPr>
          <w:fldChar w:fldCharType="end"/>
        </w:r>
      </w:hyperlink>
      <w:r w:rsidR="00D441B5">
        <w:rPr>
          <w:noProof/>
        </w:rPr>
        <w:t>7</w:t>
      </w:r>
    </w:p>
    <w:p w14:paraId="38E05587" w14:textId="07DA68DB" w:rsidR="00134368" w:rsidRDefault="008320CF" w:rsidP="00134368">
      <w:pPr>
        <w:pStyle w:val="TOC1"/>
        <w:rPr>
          <w:rFonts w:eastAsiaTheme="minorEastAsia"/>
          <w:noProof/>
          <w:color w:val="auto"/>
          <w:sz w:val="22"/>
          <w:szCs w:val="22"/>
          <w:lang w:eastAsia="en-GB"/>
        </w:rPr>
      </w:pPr>
      <w:hyperlink w:anchor="_Toc152597560" w:history="1">
        <w:r w:rsidR="00134368" w:rsidRPr="00A65019">
          <w:rPr>
            <w:rStyle w:val="Hyperlink"/>
            <w:noProof/>
          </w:rPr>
          <w:t>Appendix B – Process for raising and escalating a concern</w:t>
        </w:r>
        <w:r w:rsidR="00134368">
          <w:rPr>
            <w:noProof/>
            <w:webHidden/>
          </w:rPr>
          <w:tab/>
        </w:r>
        <w:r w:rsidR="00D441B5">
          <w:rPr>
            <w:noProof/>
            <w:webHidden/>
          </w:rPr>
          <w:t>20</w:t>
        </w:r>
      </w:hyperlink>
    </w:p>
    <w:p w14:paraId="113DDCC9" w14:textId="3E961890" w:rsidR="00134368" w:rsidRDefault="008320CF" w:rsidP="00134368">
      <w:pPr>
        <w:pStyle w:val="TOC1"/>
        <w:rPr>
          <w:rFonts w:eastAsiaTheme="minorEastAsia"/>
          <w:noProof/>
          <w:color w:val="auto"/>
          <w:sz w:val="22"/>
          <w:szCs w:val="22"/>
          <w:lang w:eastAsia="en-GB"/>
        </w:rPr>
      </w:pPr>
      <w:hyperlink w:anchor="_Toc152597561" w:history="1">
        <w:r w:rsidR="00134368" w:rsidRPr="00A65019">
          <w:rPr>
            <w:rStyle w:val="Hyperlink"/>
            <w:noProof/>
          </w:rPr>
          <w:t xml:space="preserve">Appendix C </w:t>
        </w:r>
        <w:r w:rsidR="00DF204D">
          <w:rPr>
            <w:rStyle w:val="Hyperlink"/>
            <w:noProof/>
          </w:rPr>
          <w:t>–</w:t>
        </w:r>
        <w:r w:rsidR="00134368" w:rsidRPr="00A65019">
          <w:rPr>
            <w:rStyle w:val="Hyperlink"/>
            <w:noProof/>
          </w:rPr>
          <w:t xml:space="preserve"> Management guidance</w:t>
        </w:r>
        <w:r w:rsidR="00134368">
          <w:rPr>
            <w:noProof/>
            <w:webHidden/>
          </w:rPr>
          <w:tab/>
        </w:r>
        <w:r w:rsidR="00134368">
          <w:rPr>
            <w:noProof/>
            <w:webHidden/>
          </w:rPr>
          <w:fldChar w:fldCharType="begin"/>
        </w:r>
        <w:r w:rsidR="00134368">
          <w:rPr>
            <w:noProof/>
            <w:webHidden/>
          </w:rPr>
          <w:instrText xml:space="preserve"> PAGEREF _Toc152597561 \h </w:instrText>
        </w:r>
        <w:r w:rsidR="00134368">
          <w:rPr>
            <w:noProof/>
            <w:webHidden/>
          </w:rPr>
        </w:r>
        <w:r w:rsidR="00134368">
          <w:rPr>
            <w:noProof/>
            <w:webHidden/>
          </w:rPr>
          <w:fldChar w:fldCharType="separate"/>
        </w:r>
        <w:r w:rsidR="00134368">
          <w:rPr>
            <w:noProof/>
            <w:webHidden/>
          </w:rPr>
          <w:t>2</w:t>
        </w:r>
        <w:r w:rsidR="00D441B5">
          <w:rPr>
            <w:noProof/>
            <w:webHidden/>
          </w:rPr>
          <w:t>2</w:t>
        </w:r>
        <w:r w:rsidR="00134368">
          <w:rPr>
            <w:noProof/>
            <w:webHidden/>
          </w:rPr>
          <w:fldChar w:fldCharType="end"/>
        </w:r>
      </w:hyperlink>
    </w:p>
    <w:p w14:paraId="79AC109D" w14:textId="77B12BF4"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74ACB62A" w14:textId="5812CE56" w:rsidR="00D740E7" w:rsidRDefault="00F913CD" w:rsidP="002416CE">
      <w:pPr>
        <w:pStyle w:val="Heading2"/>
      </w:pPr>
      <w:bookmarkStart w:id="4" w:name="_Toc84611043"/>
      <w:bookmarkStart w:id="5" w:name="_Toc89326544"/>
      <w:bookmarkStart w:id="6" w:name="_Toc152597523"/>
      <w:r w:rsidRPr="0015255F">
        <w:lastRenderedPageBreak/>
        <w:t>Introduction</w:t>
      </w:r>
      <w:bookmarkStart w:id="7" w:name="_Toc89326545"/>
      <w:bookmarkEnd w:id="4"/>
      <w:bookmarkEnd w:id="5"/>
      <w:bookmarkEnd w:id="6"/>
    </w:p>
    <w:p w14:paraId="7164E4BC" w14:textId="77777777" w:rsidR="002416CE" w:rsidRDefault="00E36706" w:rsidP="002416CE">
      <w:pPr>
        <w:pStyle w:val="Heading3"/>
      </w:pPr>
      <w:r w:rsidRPr="00B13E4E">
        <w:t>We welcome speaking up and we will listen. By speaking up at work you will be playing a vital role in helping us to keep improving our services for all patients and the working environment for our staff.</w:t>
      </w:r>
    </w:p>
    <w:p w14:paraId="6E3D69CB" w14:textId="53DEE7B3" w:rsidR="00E36706" w:rsidRPr="00B13E4E" w:rsidRDefault="00E36706" w:rsidP="002416CE">
      <w:pPr>
        <w:pStyle w:val="Heading3"/>
        <w:numPr>
          <w:ilvl w:val="0"/>
          <w:numId w:val="0"/>
        </w:numPr>
        <w:ind w:left="1134"/>
      </w:pPr>
      <w:r w:rsidRPr="00B13E4E">
        <w:t xml:space="preserve">This policy is for all our workers.  </w:t>
      </w:r>
      <w:hyperlink r:id="rId11" w:anchor="we-each-have-a-voice-that-counts" w:history="1">
        <w:r w:rsidR="00B025D8" w:rsidRPr="00B025D8">
          <w:rPr>
            <w:rStyle w:val="Hyperlink"/>
          </w:rPr>
          <w:t>The NHS People Promise</w:t>
        </w:r>
      </w:hyperlink>
      <w:r w:rsidR="00B025D8">
        <w:t xml:space="preserve"> co</w:t>
      </w:r>
      <w:r w:rsidRPr="00B13E4E">
        <w:t xml:space="preserve">mmits to ensuring that “we each have a voice that counts, that we all feel safe and confident to speak </w:t>
      </w:r>
      <w:r w:rsidR="006618C6" w:rsidRPr="00B13E4E">
        <w:t>up and</w:t>
      </w:r>
      <w:r w:rsidRPr="00B13E4E">
        <w:t xml:space="preserve"> take the time to really listen to understand the hopes and fears that lie behind the words”.</w:t>
      </w:r>
    </w:p>
    <w:p w14:paraId="74A58B56" w14:textId="240A66A1" w:rsidR="00E36706" w:rsidRPr="006A1F33" w:rsidRDefault="00E36706" w:rsidP="002416CE">
      <w:pPr>
        <w:pStyle w:val="Heading3"/>
        <w:numPr>
          <w:ilvl w:val="0"/>
          <w:numId w:val="0"/>
        </w:numPr>
        <w:ind w:left="1134"/>
      </w:pPr>
      <w:r w:rsidRPr="00B13E4E">
        <w:t>We want to hear about any concerns you have, whichever part of the organisation you work in. We know some groups in our workforce feel they are seldom heard</w:t>
      </w:r>
      <w:r w:rsidR="002416CE">
        <w:t xml:space="preserve"> </w:t>
      </w:r>
      <w:r w:rsidRPr="00B13E4E">
        <w:t>or are reluctant to speak up. You could be an agency worker, bank worker, locum</w:t>
      </w:r>
      <w:r w:rsidR="006618C6">
        <w:t>,</w:t>
      </w:r>
      <w:r w:rsidRPr="00B13E4E">
        <w:t xml:space="preserve"> or student. We also know that workers with disabilities, or from a minority ethnic background or the LGBTQ+ community do not always feel able to </w:t>
      </w:r>
      <w:r w:rsidRPr="006A1F33">
        <w:t>speak up.</w:t>
      </w:r>
      <w:r w:rsidR="003F60DA" w:rsidRPr="006A1F33">
        <w:t xml:space="preserve"> </w:t>
      </w:r>
      <w:r w:rsidR="009C7E4D" w:rsidRPr="006A1F33">
        <w:t xml:space="preserve">If you require any adjustments to be able to access the Freedom to Speak Up process and would like to speak to a member of the HR Team in confidence about this, please email </w:t>
      </w:r>
      <w:hyperlink r:id="rId12" w:history="1">
        <w:r w:rsidR="009C7E4D" w:rsidRPr="006A1F33">
          <w:rPr>
            <w:rStyle w:val="Hyperlink"/>
          </w:rPr>
          <w:t>mseicb-me.essexhr-inbox@nhs.net</w:t>
        </w:r>
      </w:hyperlink>
      <w:r w:rsidR="009C7E4D" w:rsidRPr="006A1F33">
        <w:t xml:space="preserve">. </w:t>
      </w:r>
    </w:p>
    <w:p w14:paraId="0DDF5569" w14:textId="00B055DA" w:rsidR="00E36706" w:rsidRPr="00B13E4E" w:rsidRDefault="00E36706" w:rsidP="002416CE">
      <w:pPr>
        <w:pStyle w:val="Heading3"/>
        <w:numPr>
          <w:ilvl w:val="0"/>
          <w:numId w:val="0"/>
        </w:numPr>
        <w:ind w:left="1134"/>
      </w:pPr>
      <w:r w:rsidRPr="006A1F33">
        <w:t>This policy is for a</w:t>
      </w:r>
      <w:r w:rsidRPr="00B13E4E">
        <w:t xml:space="preserve">ll </w:t>
      </w:r>
      <w:r w:rsidR="00613073" w:rsidRPr="00B13E4E">
        <w:t>workers,</w:t>
      </w:r>
      <w:r w:rsidRPr="00B13E4E">
        <w:t xml:space="preserve"> and we want to hear all our workers’ concerns.</w:t>
      </w:r>
    </w:p>
    <w:p w14:paraId="3A3B1ED0" w14:textId="621E5CC0" w:rsidR="0079014F" w:rsidRDefault="00E36706" w:rsidP="002416CE">
      <w:pPr>
        <w:pStyle w:val="Heading3"/>
        <w:numPr>
          <w:ilvl w:val="0"/>
          <w:numId w:val="0"/>
        </w:numPr>
        <w:ind w:left="1134"/>
      </w:pPr>
      <w:r w:rsidRPr="00B13E4E">
        <w:t xml:space="preserve">We ask all our workers to complete the </w:t>
      </w:r>
      <w:r w:rsidR="00B025D8" w:rsidRPr="00047E29">
        <w:t>online training</w:t>
      </w:r>
      <w:r w:rsidR="00B025D8" w:rsidRPr="00B13E4E">
        <w:t xml:space="preserve"> </w:t>
      </w:r>
      <w:r w:rsidRPr="00B13E4E">
        <w:t>on speaking up</w:t>
      </w:r>
      <w:r w:rsidR="00047E29" w:rsidRPr="00047E29">
        <w:t xml:space="preserve"> via ESR</w:t>
      </w:r>
      <w:r w:rsidRPr="00B13E4E">
        <w:t>. The online module on listening up is specifically for managers to complete and the module on following up is for senior leaders to complete.</w:t>
      </w:r>
    </w:p>
    <w:p w14:paraId="7D1CB244" w14:textId="5E98DE53" w:rsidR="00E36706" w:rsidRPr="00B025D8" w:rsidRDefault="00E36706" w:rsidP="00613073">
      <w:pPr>
        <w:pStyle w:val="Heading3"/>
        <w:numPr>
          <w:ilvl w:val="0"/>
          <w:numId w:val="0"/>
        </w:numPr>
        <w:ind w:left="1134"/>
        <w:rPr>
          <w:rStyle w:val="Hyperlink"/>
        </w:rPr>
      </w:pPr>
      <w:r w:rsidRPr="00B13E4E">
        <w:t xml:space="preserve">You can find out more about what Freedom to Speak Up (FTSU) is in these </w:t>
      </w:r>
      <w:r w:rsidR="00B025D8">
        <w:fldChar w:fldCharType="begin"/>
      </w:r>
      <w:r w:rsidR="00B025D8">
        <w:instrText xml:space="preserve"> HYPERLINK "https://www.e-lfh.org.uk/programmes/freedom-to-speak-up/" </w:instrText>
      </w:r>
      <w:r w:rsidR="00B025D8">
        <w:fldChar w:fldCharType="separate"/>
      </w:r>
      <w:r w:rsidRPr="00B025D8">
        <w:rPr>
          <w:rStyle w:val="Hyperlink"/>
        </w:rPr>
        <w:t>videos</w:t>
      </w:r>
      <w:r w:rsidR="00B025D8">
        <w:rPr>
          <w:rStyle w:val="Hyperlink"/>
        </w:rPr>
        <w:t>.</w:t>
      </w:r>
    </w:p>
    <w:p w14:paraId="6EA46454" w14:textId="13545197" w:rsidR="00F913CD" w:rsidRPr="0015255F" w:rsidRDefault="00F913CD" w:rsidP="00D7524B">
      <w:pPr>
        <w:pStyle w:val="Heading2"/>
      </w:pPr>
      <w:bookmarkStart w:id="8" w:name="_Toc152597524"/>
      <w:r w:rsidRPr="00B025D8">
        <w:t>Purp</w:t>
      </w:r>
      <w:r w:rsidR="00B025D8">
        <w:rPr>
          <w:rFonts w:asciiTheme="minorHAnsi" w:eastAsiaTheme="minorHAnsi" w:hAnsiTheme="minorHAnsi" w:cstheme="minorBidi"/>
          <w:b w:val="0"/>
          <w:color w:val="231F20" w:themeColor="text1"/>
          <w:sz w:val="24"/>
          <w:szCs w:val="24"/>
        </w:rPr>
        <w:fldChar w:fldCharType="end"/>
      </w:r>
      <w:r w:rsidRPr="0015255F">
        <w:t>ose</w:t>
      </w:r>
      <w:bookmarkEnd w:id="7"/>
      <w:bookmarkEnd w:id="8"/>
    </w:p>
    <w:p w14:paraId="5E473631" w14:textId="0303F62A" w:rsidR="00D740E7" w:rsidRDefault="00D740E7" w:rsidP="002416CE">
      <w:pPr>
        <w:pStyle w:val="Heading3"/>
        <w:rPr>
          <w:rFonts w:ascii="Arial" w:eastAsia="Arial" w:hAnsi="Arial" w:cs="Arial"/>
          <w:sz w:val="20"/>
          <w:szCs w:val="20"/>
        </w:rPr>
      </w:pPr>
      <w:r w:rsidRPr="00B13E4E">
        <w:t>All NHS organisations and others providing NHS healthcare services in primary and secondary care in England are required to adopt the national Freedom to Speak Up Policy as a minimum standard to help normalise speaking up for the benefit of patients and workers. Its aim is to ensure all matters raised are captured and considered appropriately.</w:t>
      </w:r>
    </w:p>
    <w:p w14:paraId="3DC1189B" w14:textId="728D7E19" w:rsidR="00F913CD" w:rsidRDefault="00010F31" w:rsidP="002416CE">
      <w:pPr>
        <w:pStyle w:val="Heading3"/>
      </w:pPr>
      <w:r>
        <w:t>Everyone has a duty, as set out in the NHS Constitution, to raise concerns about potential risks, malpractice or wrongdoing, breaches of the law</w:t>
      </w:r>
      <w:r w:rsidR="00002CD6">
        <w:t xml:space="preserve"> and</w:t>
      </w:r>
      <w:r>
        <w:t xml:space="preserve"> regulations or dangerous practice so as not to compromise patient safety, </w:t>
      </w:r>
      <w:r w:rsidR="00613073">
        <w:t>care,</w:t>
      </w:r>
      <w:r>
        <w:t xml:space="preserve"> or dignity. All staff have a duty to listen to patients, their </w:t>
      </w:r>
      <w:proofErr w:type="spellStart"/>
      <w:r>
        <w:t>carers</w:t>
      </w:r>
      <w:proofErr w:type="spellEnd"/>
      <w:r w:rsidR="006618C6">
        <w:t>,</w:t>
      </w:r>
      <w:r>
        <w:t xml:space="preserve"> and relatives, to be open with them and to contribute to a climate in which the truth can be heard and errors can be addressed and learned from. This is referred to as our “duty of openness, transparency and candour”. This policy provides guidance to support staff raise concerns and provides the ICB’s reassurance to staff that it is safe and acceptable to do so. The policy also ensures that any such concerns raised are considered and addressed in an appropriate way as early as possible. </w:t>
      </w:r>
      <w:r w:rsidR="00F913CD" w:rsidRPr="00DE0AAD">
        <w:t xml:space="preserve"> </w:t>
      </w:r>
    </w:p>
    <w:p w14:paraId="6A67D2A1" w14:textId="2C084BAC" w:rsidR="000E18CD" w:rsidRDefault="000E18CD" w:rsidP="00D7524B">
      <w:pPr>
        <w:pStyle w:val="Heading2"/>
      </w:pPr>
      <w:bookmarkStart w:id="9" w:name="_Toc152597525"/>
      <w:bookmarkStart w:id="10" w:name="_Toc89326546"/>
      <w:r>
        <w:lastRenderedPageBreak/>
        <w:t>Scope</w:t>
      </w:r>
      <w:bookmarkEnd w:id="9"/>
    </w:p>
    <w:p w14:paraId="1DBB4383" w14:textId="37C1DFC5" w:rsidR="000E18CD" w:rsidRPr="00897E1C" w:rsidRDefault="000E18CD" w:rsidP="002416CE">
      <w:pPr>
        <w:pStyle w:val="Heading3"/>
      </w:pPr>
      <w:r w:rsidRPr="00897E1C">
        <w:t>This policy applies to:</w:t>
      </w:r>
    </w:p>
    <w:p w14:paraId="63668215" w14:textId="28C6ED62" w:rsidR="000E18CD" w:rsidRPr="000E18CD" w:rsidRDefault="000E18CD">
      <w:pPr>
        <w:pStyle w:val="Heading3"/>
        <w:numPr>
          <w:ilvl w:val="0"/>
          <w:numId w:val="22"/>
        </w:numPr>
      </w:pPr>
      <w:r w:rsidRPr="000E18CD">
        <w:t>Mid and South Essex (MSE) Integrated Care Board (ICB) members and staff (including temporary/bank/agency/work experience staff, students</w:t>
      </w:r>
      <w:r w:rsidR="006618C6">
        <w:t>,</w:t>
      </w:r>
      <w:r w:rsidRPr="000E18CD">
        <w:t xml:space="preserve"> and volunteers).</w:t>
      </w:r>
    </w:p>
    <w:p w14:paraId="55E8718D" w14:textId="2AF55864" w:rsidR="000E18CD" w:rsidRDefault="00136C91">
      <w:pPr>
        <w:pStyle w:val="Heading3"/>
        <w:numPr>
          <w:ilvl w:val="0"/>
          <w:numId w:val="22"/>
        </w:numPr>
      </w:pPr>
      <w:r>
        <w:t>Consultants</w:t>
      </w:r>
      <w:r w:rsidR="000E18CD">
        <w:t xml:space="preserve"> engaged by the ICB.</w:t>
      </w:r>
    </w:p>
    <w:p w14:paraId="540B3756" w14:textId="41C25EC4" w:rsidR="002416CE" w:rsidRPr="000E18CD" w:rsidRDefault="000E18CD">
      <w:pPr>
        <w:pStyle w:val="Heading3"/>
        <w:numPr>
          <w:ilvl w:val="0"/>
          <w:numId w:val="22"/>
        </w:numPr>
      </w:pPr>
      <w:r>
        <w:t>Staff from other MSE Integrated Care Partnership (ICP) organisations who are members of ICB Committees/Sub-Committees and other groups.</w:t>
      </w:r>
    </w:p>
    <w:p w14:paraId="33D9D5BD" w14:textId="6E205B9F" w:rsidR="00F913CD" w:rsidRPr="0015255F" w:rsidRDefault="00F913CD" w:rsidP="00D7524B">
      <w:pPr>
        <w:pStyle w:val="Heading2"/>
      </w:pPr>
      <w:bookmarkStart w:id="11" w:name="_Toc152597526"/>
      <w:r w:rsidRPr="0015255F">
        <w:t>Definitions</w:t>
      </w:r>
      <w:bookmarkEnd w:id="10"/>
      <w:bookmarkEnd w:id="11"/>
    </w:p>
    <w:p w14:paraId="0499D1EA" w14:textId="58066E6D" w:rsidR="00DB71AA" w:rsidRDefault="00DB71AA">
      <w:pPr>
        <w:pStyle w:val="Heading3"/>
        <w:numPr>
          <w:ilvl w:val="0"/>
          <w:numId w:val="23"/>
        </w:numPr>
      </w:pPr>
      <w:r w:rsidRPr="00DB71AA">
        <w:t>Concern</w:t>
      </w:r>
      <w:r>
        <w:t xml:space="preserve"> –</w:t>
      </w:r>
      <w:r w:rsidRPr="00DB71AA">
        <w:t xml:space="preserve"> </w:t>
      </w:r>
      <w:r w:rsidR="00613925">
        <w:t>an allegation of wrongdoing in respect of</w:t>
      </w:r>
      <w:r w:rsidRPr="00DB71AA">
        <w:t xml:space="preserve"> the activities of the </w:t>
      </w:r>
      <w:r>
        <w:t xml:space="preserve">ICB </w:t>
      </w:r>
      <w:r w:rsidRPr="00DB71AA">
        <w:t xml:space="preserve">corporately </w:t>
      </w:r>
      <w:r w:rsidR="00F52696">
        <w:t>or</w:t>
      </w:r>
      <w:r w:rsidRPr="00DB71AA">
        <w:t xml:space="preserve"> as a commissioner of NHS services or </w:t>
      </w:r>
      <w:r w:rsidR="00F52696">
        <w:t xml:space="preserve">in relation to </w:t>
      </w:r>
      <w:r w:rsidRPr="00DB71AA">
        <w:t xml:space="preserve">persons employed by the </w:t>
      </w:r>
      <w:r>
        <w:t>ICB</w:t>
      </w:r>
      <w:r w:rsidRPr="00DB71AA">
        <w:t xml:space="preserve"> (including Board Members). </w:t>
      </w:r>
      <w:r w:rsidR="00F52696">
        <w:t xml:space="preserve">  </w:t>
      </w:r>
      <w:r w:rsidR="00F52696" w:rsidRPr="00F52696">
        <w:t>The wrongdoing disclose</w:t>
      </w:r>
      <w:r w:rsidR="00613925">
        <w:t>d</w:t>
      </w:r>
      <w:r w:rsidR="00F52696" w:rsidRPr="00F52696">
        <w:t xml:space="preserve"> must be in the public interest</w:t>
      </w:r>
      <w:r w:rsidR="00613925">
        <w:t xml:space="preserve">, that is </w:t>
      </w:r>
      <w:r w:rsidR="00F52696" w:rsidRPr="00F52696">
        <w:t>it must affect others</w:t>
      </w:r>
      <w:r w:rsidR="001358D5">
        <w:t xml:space="preserve"> such as</w:t>
      </w:r>
      <w:r w:rsidR="00F52696" w:rsidRPr="00F52696">
        <w:t xml:space="preserve"> the general public.</w:t>
      </w:r>
    </w:p>
    <w:p w14:paraId="6AA6AA1B" w14:textId="286D318B" w:rsidR="00982BBE" w:rsidRDefault="00982BBE">
      <w:pPr>
        <w:pStyle w:val="Heading3"/>
        <w:numPr>
          <w:ilvl w:val="0"/>
          <w:numId w:val="23"/>
        </w:numPr>
      </w:pPr>
      <w:r>
        <w:t>Grievance - an actual or supposed circumstance regarded as just cause for complain</w:t>
      </w:r>
      <w:r w:rsidR="00613925">
        <w:t>t.</w:t>
      </w:r>
    </w:p>
    <w:p w14:paraId="32360734" w14:textId="00125D98" w:rsidR="00DB71AA" w:rsidRDefault="00DB71AA">
      <w:pPr>
        <w:pStyle w:val="Heading3"/>
        <w:numPr>
          <w:ilvl w:val="0"/>
          <w:numId w:val="23"/>
        </w:numPr>
      </w:pPr>
      <w:r>
        <w:t>PIDA – Public Interest Disclosure Act 1998</w:t>
      </w:r>
      <w:r w:rsidR="00613925">
        <w:t>.</w:t>
      </w:r>
    </w:p>
    <w:p w14:paraId="09AD19D8" w14:textId="13EEA3D1" w:rsidR="00DB71AA" w:rsidRDefault="00DB71AA">
      <w:pPr>
        <w:pStyle w:val="Heading3"/>
        <w:numPr>
          <w:ilvl w:val="0"/>
          <w:numId w:val="23"/>
        </w:numPr>
      </w:pPr>
      <w:r w:rsidRPr="00DB71AA">
        <w:t>Victimisatio</w:t>
      </w:r>
      <w:r>
        <w:t>n - t</w:t>
      </w:r>
      <w:r w:rsidRPr="00DB71AA">
        <w:t>his occurs when an individual is treated less favourably by colleagues or their employer because they have exercised their legal rights under the PIDA</w:t>
      </w:r>
      <w:r w:rsidR="00613925">
        <w:t>,</w:t>
      </w:r>
      <w:r w:rsidRPr="00DB71AA">
        <w:t xml:space="preserve"> or other legislation</w:t>
      </w:r>
      <w:r w:rsidR="00613925">
        <w:t>,</w:t>
      </w:r>
      <w:r w:rsidRPr="00DB71AA">
        <w:t xml:space="preserve"> or because they have assisted someone else to do so. </w:t>
      </w:r>
    </w:p>
    <w:p w14:paraId="450F3DFA" w14:textId="66323839" w:rsidR="00203597" w:rsidRDefault="00203597">
      <w:pPr>
        <w:pStyle w:val="Heading3"/>
        <w:numPr>
          <w:ilvl w:val="0"/>
          <w:numId w:val="23"/>
        </w:numPr>
      </w:pPr>
      <w:r>
        <w:t>Freedom to Speak Up</w:t>
      </w:r>
      <w:r w:rsidR="00444772">
        <w:t xml:space="preserve"> – a positive culture where people feel they can speak up and their voices will be </w:t>
      </w:r>
      <w:proofErr w:type="gramStart"/>
      <w:r w:rsidR="00444772">
        <w:t>heard</w:t>
      </w:r>
      <w:proofErr w:type="gramEnd"/>
      <w:r w:rsidR="00444772">
        <w:t xml:space="preserve"> and their suggestions acted upon.</w:t>
      </w:r>
    </w:p>
    <w:p w14:paraId="7D1E7F98" w14:textId="28B3A99A" w:rsidR="00F52696" w:rsidRDefault="00DB71AA">
      <w:pPr>
        <w:pStyle w:val="Heading3"/>
        <w:numPr>
          <w:ilvl w:val="0"/>
          <w:numId w:val="23"/>
        </w:numPr>
      </w:pPr>
      <w:r w:rsidRPr="00DB71AA">
        <w:t>Whistleblow</w:t>
      </w:r>
      <w:r w:rsidR="00206719">
        <w:t>ing</w:t>
      </w:r>
      <w:r>
        <w:t xml:space="preserve"> </w:t>
      </w:r>
      <w:r w:rsidR="00F002CC">
        <w:t>–</w:t>
      </w:r>
      <w:r>
        <w:t xml:space="preserve"> </w:t>
      </w:r>
      <w:r w:rsidR="00206719" w:rsidRPr="00206719">
        <w:t>the term used when a</w:t>
      </w:r>
      <w:r w:rsidR="00206719">
        <w:t xml:space="preserve"> person, usually an employee,</w:t>
      </w:r>
      <w:r w:rsidR="00206719" w:rsidRPr="00206719">
        <w:t xml:space="preserve"> passes on information concerning wrongdoing</w:t>
      </w:r>
      <w:r w:rsidR="00F52696" w:rsidRPr="00F52696">
        <w:t xml:space="preserve"> within a private, public, or government organi</w:t>
      </w:r>
      <w:r w:rsidR="00F52696">
        <w:t>s</w:t>
      </w:r>
      <w:r w:rsidR="00F52696" w:rsidRPr="00F52696">
        <w:t>ation that is deemed illegal, illicit, unsafe, fraud, or abuse of taxpayer funds.</w:t>
      </w:r>
    </w:p>
    <w:p w14:paraId="0E72F2F5" w14:textId="77777777" w:rsidR="00F913CD" w:rsidRPr="0015255F" w:rsidRDefault="00F913CD" w:rsidP="00D7524B">
      <w:pPr>
        <w:pStyle w:val="Heading2"/>
      </w:pPr>
      <w:bookmarkStart w:id="12" w:name="_Toc89326547"/>
      <w:bookmarkStart w:id="13" w:name="_Toc152597527"/>
      <w:r w:rsidRPr="0015255F">
        <w:t>Roles and Responsibilities</w:t>
      </w:r>
      <w:bookmarkStart w:id="14" w:name="_Toc84611047"/>
      <w:bookmarkEnd w:id="12"/>
      <w:bookmarkEnd w:id="13"/>
    </w:p>
    <w:p w14:paraId="01A41CC2" w14:textId="77777777" w:rsidR="00F913CD" w:rsidRPr="00A761AE" w:rsidRDefault="00F913CD" w:rsidP="00A761AE">
      <w:pPr>
        <w:pStyle w:val="Heading3"/>
        <w:rPr>
          <w:b/>
          <w:bCs/>
        </w:rPr>
      </w:pPr>
      <w:bookmarkStart w:id="15" w:name="_Toc84611048"/>
      <w:bookmarkStart w:id="16" w:name="_Toc152597528"/>
      <w:bookmarkEnd w:id="14"/>
      <w:r w:rsidRPr="00A761AE">
        <w:rPr>
          <w:b/>
          <w:bCs/>
        </w:rPr>
        <w:t>Integrated Care Board</w:t>
      </w:r>
      <w:bookmarkEnd w:id="15"/>
      <w:bookmarkEnd w:id="16"/>
    </w:p>
    <w:p w14:paraId="22E2316E" w14:textId="77777777" w:rsidR="00BD7AA4" w:rsidRDefault="001358D5" w:rsidP="00BD7AA4">
      <w:pPr>
        <w:pStyle w:val="Style2"/>
      </w:pPr>
      <w:r>
        <w:t xml:space="preserve">The ICB Board is responsible for receiving assurance that the ICB has in place a robust system for meeting its statutory obligations around </w:t>
      </w:r>
      <w:r w:rsidR="007D4141">
        <w:t xml:space="preserve">speaking up and </w:t>
      </w:r>
      <w:r>
        <w:t xml:space="preserve">whistleblowing. </w:t>
      </w:r>
    </w:p>
    <w:p w14:paraId="0FEFFE52" w14:textId="3CDDC52D" w:rsidR="00F913CD" w:rsidRPr="0015255F" w:rsidRDefault="001358D5" w:rsidP="00BD7AA4">
      <w:pPr>
        <w:pStyle w:val="Style2"/>
      </w:pPr>
      <w:r>
        <w:lastRenderedPageBreak/>
        <w:t xml:space="preserve">The ICB Board will be given high level information about all concerns raised through this policy and what we are doing to address any problems. We will include similar </w:t>
      </w:r>
      <w:r w:rsidR="00136C91">
        <w:t>high-level</w:t>
      </w:r>
      <w:r>
        <w:t xml:space="preserve"> information in our annual report. The ICB Board supports</w:t>
      </w:r>
      <w:r w:rsidR="007D4141">
        <w:t xml:space="preserve"> this policy</w:t>
      </w:r>
      <w:r>
        <w:t xml:space="preserve"> and wants you to feel free</w:t>
      </w:r>
      <w:r w:rsidR="007D4141">
        <w:t xml:space="preserve"> and safe to</w:t>
      </w:r>
      <w:r>
        <w:t xml:space="preserve"> speak up</w:t>
      </w:r>
      <w:r w:rsidR="00F913CD" w:rsidRPr="0015255F">
        <w:t>.</w:t>
      </w:r>
    </w:p>
    <w:p w14:paraId="7D679FED" w14:textId="77777777" w:rsidR="00BD7AA4" w:rsidRDefault="001358D5" w:rsidP="00BD7AA4">
      <w:pPr>
        <w:pStyle w:val="Heading3"/>
        <w:rPr>
          <w:b/>
          <w:bCs/>
        </w:rPr>
      </w:pPr>
      <w:bookmarkStart w:id="17" w:name="_Toc152597529"/>
      <w:r w:rsidRPr="00F31CEE">
        <w:rPr>
          <w:b/>
          <w:bCs/>
        </w:rPr>
        <w:t>Audit</w:t>
      </w:r>
      <w:r w:rsidR="00F913CD" w:rsidRPr="00F31CEE">
        <w:rPr>
          <w:b/>
          <w:bCs/>
        </w:rPr>
        <w:t xml:space="preserve"> Committee</w:t>
      </w:r>
      <w:bookmarkEnd w:id="17"/>
    </w:p>
    <w:p w14:paraId="5DE8F897" w14:textId="54F9E524" w:rsidR="00BD7AA4" w:rsidRPr="00BD7AA4" w:rsidRDefault="00BD7AA4">
      <w:pPr>
        <w:pStyle w:val="Heading3"/>
        <w:numPr>
          <w:ilvl w:val="2"/>
          <w:numId w:val="24"/>
        </w:numPr>
        <w:ind w:left="1134" w:right="0" w:hanging="1134"/>
        <w:rPr>
          <w:rFonts w:asciiTheme="minorHAnsi" w:hAnsiTheme="minorHAnsi" w:cstheme="minorHAnsi"/>
        </w:rPr>
      </w:pPr>
      <w:r w:rsidRPr="00BD7AA4">
        <w:rPr>
          <w:rFonts w:asciiTheme="minorHAnsi" w:hAnsiTheme="minorHAnsi" w:cstheme="minorHAnsi"/>
        </w:rPr>
        <w:t>The Audit Committee is the committee responsible for monitoring the day-to-day implementation of this policy. Through its membership (particularly the Non-Executive Members), intelligence about implementation of the policy and any remedial actions arising from the investigation of concerns raised under the policy will be shared with the Quality Committee (in suitably anonymised form)</w:t>
      </w:r>
    </w:p>
    <w:p w14:paraId="2032CA85" w14:textId="77777777" w:rsidR="00F913CD" w:rsidRPr="00A761AE" w:rsidRDefault="00F913CD" w:rsidP="00A761AE">
      <w:pPr>
        <w:pStyle w:val="Heading3"/>
        <w:rPr>
          <w:b/>
          <w:bCs/>
        </w:rPr>
      </w:pPr>
      <w:bookmarkStart w:id="18" w:name="_Toc152597530"/>
      <w:r w:rsidRPr="00A761AE">
        <w:rPr>
          <w:b/>
          <w:bCs/>
        </w:rPr>
        <w:t>Chief Executive</w:t>
      </w:r>
      <w:bookmarkEnd w:id="18"/>
    </w:p>
    <w:p w14:paraId="57901AA5" w14:textId="44188EC2" w:rsidR="00F913CD" w:rsidRDefault="001358D5" w:rsidP="00002CD6">
      <w:pPr>
        <w:pStyle w:val="Style7"/>
      </w:pPr>
      <w:r>
        <w:t xml:space="preserve">The Chief Executive is the Board member with executive responsibility for the </w:t>
      </w:r>
      <w:r w:rsidR="00002CD6">
        <w:t xml:space="preserve">Raising Concerns </w:t>
      </w:r>
      <w:r w:rsidR="00691D96">
        <w:t>p</w:t>
      </w:r>
      <w:r>
        <w:t>olicy.</w:t>
      </w:r>
      <w:bookmarkStart w:id="19" w:name="_Toc84611052"/>
    </w:p>
    <w:p w14:paraId="14688ACE" w14:textId="6C9A6151" w:rsidR="00002CD6" w:rsidRPr="00D7524B" w:rsidRDefault="00D7524B" w:rsidP="00D7524B">
      <w:pPr>
        <w:pStyle w:val="Heading3"/>
        <w:rPr>
          <w:b/>
          <w:bCs/>
        </w:rPr>
      </w:pPr>
      <w:bookmarkStart w:id="20" w:name="_Toc152597531"/>
      <w:r w:rsidRPr="00D7524B">
        <w:rPr>
          <w:b/>
          <w:bCs/>
        </w:rPr>
        <w:t>Chief People Officer</w:t>
      </w:r>
      <w:bookmarkEnd w:id="20"/>
    </w:p>
    <w:p w14:paraId="7802C332" w14:textId="05CAF4EA" w:rsidR="00002CD6" w:rsidRPr="00002CD6" w:rsidRDefault="00002CD6" w:rsidP="00002CD6">
      <w:pPr>
        <w:pStyle w:val="Style7"/>
      </w:pPr>
      <w:r>
        <w:t xml:space="preserve">The </w:t>
      </w:r>
      <w:r w:rsidR="00D7524B">
        <w:t xml:space="preserve">Chief People Officer </w:t>
      </w:r>
      <w:r>
        <w:t>has</w:t>
      </w:r>
      <w:r w:rsidR="00691D96">
        <w:t xml:space="preserve"> been delegated authority by the Chief Executive for the </w:t>
      </w:r>
      <w:r w:rsidR="00136C91">
        <w:t>day-to-day</w:t>
      </w:r>
      <w:r w:rsidR="00691D96">
        <w:t xml:space="preserve"> implementation of the </w:t>
      </w:r>
      <w:r w:rsidR="007D4141">
        <w:t>Freedom to Speak Up</w:t>
      </w:r>
      <w:r w:rsidR="00691D96">
        <w:t xml:space="preserve"> policy.</w:t>
      </w:r>
    </w:p>
    <w:p w14:paraId="240A7F94" w14:textId="3BFEB057" w:rsidR="00AE4B3E" w:rsidRPr="00AE4B3E" w:rsidRDefault="00AE4B3E" w:rsidP="00A761AE">
      <w:pPr>
        <w:pStyle w:val="Style1"/>
      </w:pPr>
      <w:r w:rsidRPr="00AE4B3E">
        <w:t>Freedom to Speak Up Guardian</w:t>
      </w:r>
    </w:p>
    <w:p w14:paraId="34BFCF40" w14:textId="280B5E50" w:rsidR="00AE4B3E" w:rsidRDefault="00AE4B3E" w:rsidP="00AE4B3E">
      <w:pPr>
        <w:pStyle w:val="Style2"/>
      </w:pPr>
      <w:r>
        <w:t xml:space="preserve">The Freedom </w:t>
      </w:r>
      <w:r w:rsidR="004D797D">
        <w:t>to</w:t>
      </w:r>
      <w:r>
        <w:t xml:space="preserve"> Speak Up </w:t>
      </w:r>
      <w:r w:rsidR="00E34376">
        <w:t xml:space="preserve">(FTSU) </w:t>
      </w:r>
      <w:r>
        <w:t>Guardian</w:t>
      </w:r>
      <w:r w:rsidR="00E34376">
        <w:t xml:space="preserve"> </w:t>
      </w:r>
      <w:r>
        <w:t xml:space="preserve">is </w:t>
      </w:r>
      <w:r w:rsidR="00D7524B">
        <w:t>George Wood, Non-Executive Member of the ICB Board</w:t>
      </w:r>
      <w:r>
        <w:t>.  The</w:t>
      </w:r>
      <w:r w:rsidR="00846A1E" w:rsidRPr="00846A1E" w:rsidDel="00C408D2">
        <w:t xml:space="preserve"> </w:t>
      </w:r>
      <w:r w:rsidR="00C408D2">
        <w:t>FTSU</w:t>
      </w:r>
      <w:r>
        <w:t xml:space="preserve"> Guardian </w:t>
      </w:r>
      <w:r w:rsidR="00002CD6">
        <w:t xml:space="preserve">is impartial and </w:t>
      </w:r>
      <w:r>
        <w:t>will support individuals to speak up and</w:t>
      </w:r>
      <w:r w:rsidR="00206719">
        <w:t xml:space="preserve"> facilitate the provision of </w:t>
      </w:r>
      <w:r>
        <w:t xml:space="preserve">a response to the matters they raise, even if in the case of employees </w:t>
      </w:r>
      <w:r w:rsidR="00C408D2">
        <w:t xml:space="preserve">who </w:t>
      </w:r>
      <w:r>
        <w:t xml:space="preserve">no longer work for the ICB. The </w:t>
      </w:r>
      <w:r w:rsidR="00C408D2">
        <w:t>FTSU</w:t>
      </w:r>
      <w:r>
        <w:t xml:space="preserve"> Guardian will ensure that people who speak up are thanked, that the issues they raise are responded to, and make sure that the person speaking up receives feedback on the actions taken.</w:t>
      </w:r>
    </w:p>
    <w:p w14:paraId="74B98C22" w14:textId="33C24ACA" w:rsidR="00CA294E" w:rsidRDefault="00CA294E" w:rsidP="00F31CEE">
      <w:pPr>
        <w:pStyle w:val="Style2"/>
      </w:pPr>
      <w:r>
        <w:t>The FTSU Guardian is responsible for ensuring they are aware of latest guidance from National Guardian’s Office and holding the Chief Executive, Executive Lead and the ICB Board to account for</w:t>
      </w:r>
      <w:r w:rsidR="00EB2028">
        <w:t xml:space="preserve"> addressing any barriers to speaking up and fostering a positive culture of speaking up.  </w:t>
      </w:r>
      <w:r w:rsidR="00C72F9C">
        <w:t xml:space="preserve">They also </w:t>
      </w:r>
      <w:r w:rsidR="00C72F9C" w:rsidRPr="00C72F9C">
        <w:t xml:space="preserve">collect and report anonymised data on the cases raised with them </w:t>
      </w:r>
      <w:r w:rsidR="00C72F9C">
        <w:t>to the National Guardian’s Office</w:t>
      </w:r>
      <w:r w:rsidR="00EB2028" w:rsidRPr="00EB2028">
        <w:t xml:space="preserve"> </w:t>
      </w:r>
      <w:r w:rsidR="00EB2028">
        <w:t>on a quarterly basis</w:t>
      </w:r>
      <w:r w:rsidR="00C72F9C">
        <w:t xml:space="preserve"> so that this information can be used to assist in learning and improvement. </w:t>
      </w:r>
    </w:p>
    <w:p w14:paraId="71CD054A" w14:textId="77777777" w:rsidR="00CA294E" w:rsidRDefault="00CA294E" w:rsidP="00AE4B3E">
      <w:pPr>
        <w:pStyle w:val="Style2"/>
      </w:pPr>
      <w:r>
        <w:t>Where necessary, the FTSU Guardian should robustly challenge the Board to reflect on whether it could do more to create a culture that is both responsive to feedback and focused on learning and continuous improvement across the entire organisation. They will:</w:t>
      </w:r>
    </w:p>
    <w:p w14:paraId="0ECFB908" w14:textId="6AA8445D" w:rsidR="00CA294E" w:rsidRDefault="00CA294E">
      <w:pPr>
        <w:pStyle w:val="ListParagraph"/>
        <w:numPr>
          <w:ilvl w:val="0"/>
          <w:numId w:val="19"/>
        </w:numPr>
      </w:pPr>
      <w:r>
        <w:t xml:space="preserve">Role-model high standards of conduct around Freedom to Speak Up. </w:t>
      </w:r>
    </w:p>
    <w:p w14:paraId="4B15892E" w14:textId="540F5121" w:rsidR="00CA294E" w:rsidRDefault="00CA294E">
      <w:pPr>
        <w:pStyle w:val="ListParagraph"/>
        <w:numPr>
          <w:ilvl w:val="0"/>
          <w:numId w:val="19"/>
        </w:numPr>
      </w:pPr>
      <w:r>
        <w:t>Act as an alternative source of advice and support for Freedom to Speak Up.</w:t>
      </w:r>
    </w:p>
    <w:p w14:paraId="0C5073B0" w14:textId="26779156" w:rsidR="00CA294E" w:rsidRPr="0015255F" w:rsidRDefault="00CA294E">
      <w:pPr>
        <w:pStyle w:val="ListParagraph"/>
        <w:numPr>
          <w:ilvl w:val="0"/>
          <w:numId w:val="19"/>
        </w:numPr>
      </w:pPr>
      <w:r>
        <w:t>Oversee any speaking up concerns regarding Board members.</w:t>
      </w:r>
    </w:p>
    <w:p w14:paraId="4E5B0CF9" w14:textId="16595D0D" w:rsidR="00F913CD" w:rsidRPr="00A761AE" w:rsidRDefault="00F913CD" w:rsidP="00A761AE">
      <w:pPr>
        <w:pStyle w:val="Heading3"/>
        <w:rPr>
          <w:b/>
          <w:bCs/>
        </w:rPr>
      </w:pPr>
      <w:bookmarkStart w:id="21" w:name="_Toc152597532"/>
      <w:r w:rsidRPr="00A761AE">
        <w:rPr>
          <w:b/>
          <w:bCs/>
        </w:rPr>
        <w:lastRenderedPageBreak/>
        <w:t>Policy Author</w:t>
      </w:r>
      <w:bookmarkEnd w:id="19"/>
      <w:bookmarkEnd w:id="21"/>
    </w:p>
    <w:p w14:paraId="160D8EEA" w14:textId="5E84D407" w:rsidR="00F913CD" w:rsidRPr="0015255F" w:rsidRDefault="00C408D2" w:rsidP="00A761AE">
      <w:pPr>
        <w:pStyle w:val="Style2"/>
      </w:pPr>
      <w:bookmarkStart w:id="22" w:name="_Toc84611053"/>
      <w:r w:rsidRPr="00C408D2">
        <w:t>The policy author will have responsibility for reviewing and updating the policy on an annual basis or should legislation, guidance, organisational change</w:t>
      </w:r>
      <w:r w:rsidR="006618C6">
        <w:t>,</w:t>
      </w:r>
      <w:r w:rsidRPr="00C408D2">
        <w:t xml:space="preserve"> or other circumstances necessitate an earlier review.</w:t>
      </w:r>
    </w:p>
    <w:bookmarkEnd w:id="22"/>
    <w:p w14:paraId="25BF05B0" w14:textId="42DAC702" w:rsidR="001358D5" w:rsidRPr="001358D5" w:rsidRDefault="001358D5" w:rsidP="00A761AE">
      <w:pPr>
        <w:pStyle w:val="Style1"/>
        <w:rPr>
          <w:rFonts w:asciiTheme="minorHAnsi" w:eastAsiaTheme="minorHAnsi" w:hAnsiTheme="minorHAnsi" w:cstheme="minorBidi"/>
        </w:rPr>
      </w:pPr>
      <w:r w:rsidRPr="001358D5">
        <w:t xml:space="preserve">Human Resources </w:t>
      </w:r>
    </w:p>
    <w:p w14:paraId="7F927D62" w14:textId="4615E9EB" w:rsidR="008D674D" w:rsidRPr="008D674D" w:rsidRDefault="008D674D" w:rsidP="008D674D">
      <w:pPr>
        <w:pStyle w:val="Style2"/>
      </w:pPr>
      <w:bookmarkStart w:id="23" w:name="_Toc84611054"/>
      <w:r w:rsidRPr="008D674D">
        <w:t xml:space="preserve">Human Resources </w:t>
      </w:r>
      <w:r w:rsidR="001679D4">
        <w:t xml:space="preserve">(HR) </w:t>
      </w:r>
      <w:r w:rsidRPr="008D674D">
        <w:t xml:space="preserve">have a responsibility to: </w:t>
      </w:r>
    </w:p>
    <w:p w14:paraId="3C1D918D" w14:textId="4B4B47B4" w:rsidR="008D674D" w:rsidRPr="008D674D" w:rsidRDefault="008D674D" w:rsidP="008D674D">
      <w:pPr>
        <w:pStyle w:val="ListParagraph"/>
      </w:pPr>
      <w:r w:rsidRPr="008D674D">
        <w:t xml:space="preserve">Provide support, guidance and advice to Board Members, </w:t>
      </w:r>
      <w:r w:rsidR="00BD7AA4" w:rsidRPr="008D674D">
        <w:t>managers,</w:t>
      </w:r>
      <w:r w:rsidRPr="008D674D">
        <w:t xml:space="preserve"> and staff throughout the process</w:t>
      </w:r>
      <w:r>
        <w:t>.</w:t>
      </w:r>
    </w:p>
    <w:p w14:paraId="38B9564E" w14:textId="6116BDC2" w:rsidR="008D674D" w:rsidRPr="008D674D" w:rsidRDefault="008D674D" w:rsidP="008D674D">
      <w:pPr>
        <w:pStyle w:val="ListParagraph"/>
      </w:pPr>
      <w:r w:rsidRPr="008D674D">
        <w:t xml:space="preserve">Advise the ICB with regard to any changes in legislation and best practices with regard to </w:t>
      </w:r>
      <w:r w:rsidR="00691D96">
        <w:t>w</w:t>
      </w:r>
      <w:r w:rsidRPr="008D674D">
        <w:t>histleblowing.</w:t>
      </w:r>
    </w:p>
    <w:p w14:paraId="3D1E668C" w14:textId="31C14BD2" w:rsidR="00773A7F" w:rsidRDefault="008D674D" w:rsidP="008D674D">
      <w:pPr>
        <w:pStyle w:val="ListParagraph"/>
      </w:pPr>
      <w:r w:rsidRPr="008D674D">
        <w:t xml:space="preserve">Work with the ICB to ensure that communication and training are provided as necessary to implement this policy. </w:t>
      </w:r>
    </w:p>
    <w:p w14:paraId="2D6FAE05" w14:textId="4F0731A2" w:rsidR="00D85120" w:rsidRPr="00A761AE" w:rsidRDefault="00D85120" w:rsidP="00D7524B">
      <w:pPr>
        <w:pStyle w:val="Heading3"/>
        <w:rPr>
          <w:b/>
          <w:bCs/>
        </w:rPr>
      </w:pPr>
      <w:bookmarkStart w:id="24" w:name="_Toc152597533"/>
      <w:bookmarkEnd w:id="23"/>
      <w:r w:rsidRPr="00A761AE">
        <w:rPr>
          <w:b/>
          <w:bCs/>
        </w:rPr>
        <w:t>Local Counter Fraud Specialist</w:t>
      </w:r>
      <w:bookmarkEnd w:id="24"/>
    </w:p>
    <w:p w14:paraId="3D91FC7E" w14:textId="052B4F5F" w:rsidR="00D85120" w:rsidRPr="00D85120" w:rsidRDefault="00D85120" w:rsidP="00D7524B">
      <w:pPr>
        <w:pStyle w:val="Style2"/>
        <w:widowControl w:val="0"/>
      </w:pPr>
      <w:r w:rsidRPr="00D85120">
        <w:t xml:space="preserve">The Local Counter Fraud Specialist (LCFS) is responsible for taking forward all anti-fraud work locally and in accordance with national standards and reporting directly to the Director of Finance. </w:t>
      </w:r>
    </w:p>
    <w:p w14:paraId="16D95D82" w14:textId="5760FE36" w:rsidR="00D85120" w:rsidRPr="00D85120" w:rsidRDefault="00D85120" w:rsidP="00D7524B">
      <w:pPr>
        <w:pStyle w:val="Style2"/>
        <w:widowControl w:val="0"/>
      </w:pPr>
      <w:r w:rsidRPr="00D85120">
        <w:t xml:space="preserve">Adhering to </w:t>
      </w:r>
      <w:r>
        <w:t xml:space="preserve">NHS Counter Fraud’s </w:t>
      </w:r>
      <w:r w:rsidRPr="00D85120">
        <w:t xml:space="preserve">standards is important in ensuring that the organisation has appropriate Whistleblowing procedures in place and the LCFS can effectively respond to system weaknesses and investigate allegations of fraud and corruption. </w:t>
      </w:r>
    </w:p>
    <w:p w14:paraId="26ACE6F2" w14:textId="6966A338" w:rsidR="0048254D" w:rsidRDefault="00D85120" w:rsidP="00D7524B">
      <w:pPr>
        <w:pStyle w:val="Style2"/>
        <w:widowControl w:val="0"/>
      </w:pPr>
      <w:r w:rsidRPr="00D85120">
        <w:t xml:space="preserve">It is the LCFS’s role to investigate any allegations of fraud. When investigating, the LCFS will need to liaise with employees within the organisation such as HR to obtain relevant documentation which may support or disprove any allegations of fraud. The LCFS will conduct risk assessments in relation to their work to prevent fraud, </w:t>
      </w:r>
      <w:proofErr w:type="gramStart"/>
      <w:r w:rsidRPr="00D85120">
        <w:t>bribery</w:t>
      </w:r>
      <w:proofErr w:type="gramEnd"/>
      <w:r w:rsidRPr="00D85120">
        <w:t xml:space="preserve"> and corruption.</w:t>
      </w:r>
    </w:p>
    <w:p w14:paraId="5019279B" w14:textId="77777777" w:rsidR="00F913CD" w:rsidRPr="00A761AE" w:rsidRDefault="00F913CD" w:rsidP="00A761AE">
      <w:pPr>
        <w:pStyle w:val="Heading3"/>
        <w:rPr>
          <w:b/>
          <w:bCs/>
        </w:rPr>
      </w:pPr>
      <w:bookmarkStart w:id="25" w:name="_Toc152597534"/>
      <w:r w:rsidRPr="00A761AE">
        <w:rPr>
          <w:b/>
          <w:bCs/>
        </w:rPr>
        <w:t>Line Managers</w:t>
      </w:r>
      <w:bookmarkEnd w:id="25"/>
      <w:r w:rsidRPr="00A761AE">
        <w:rPr>
          <w:b/>
          <w:bCs/>
        </w:rPr>
        <w:t xml:space="preserve"> </w:t>
      </w:r>
    </w:p>
    <w:p w14:paraId="20E16C0C" w14:textId="77777777" w:rsidR="00AE4B3E" w:rsidRPr="00AE4B3E" w:rsidRDefault="00AE4B3E" w:rsidP="00A145D8">
      <w:pPr>
        <w:pStyle w:val="Style2"/>
      </w:pPr>
      <w:bookmarkStart w:id="26" w:name="_Toc84611055"/>
      <w:r w:rsidRPr="00AE4B3E">
        <w:t xml:space="preserve">All managers should ensure: </w:t>
      </w:r>
    </w:p>
    <w:p w14:paraId="75D529DE" w14:textId="37888FC3" w:rsidR="00AE4B3E" w:rsidRPr="00AE4B3E" w:rsidRDefault="00AE4B3E" w:rsidP="00AE4B3E">
      <w:pPr>
        <w:pStyle w:val="ListParagraph"/>
      </w:pPr>
      <w:r w:rsidRPr="00AE4B3E">
        <w:t>That employees are given every opportunity to contribute their views on all aspects of the ICB’s business, and that of the wider NHS, especially with regard to the delivery of patient care</w:t>
      </w:r>
      <w:r>
        <w:rPr>
          <w:b/>
        </w:rPr>
        <w:t>.</w:t>
      </w:r>
    </w:p>
    <w:p w14:paraId="505248FF" w14:textId="6D1B3E54" w:rsidR="00AE4B3E" w:rsidRPr="00AE4B3E" w:rsidRDefault="00AE4B3E" w:rsidP="00AE4B3E">
      <w:pPr>
        <w:pStyle w:val="ListParagraph"/>
      </w:pPr>
      <w:r w:rsidRPr="00AE4B3E">
        <w:t>That a climate exists where employees feel that their views will be welcome, appreciated and, where appropriate, acted on positively</w:t>
      </w:r>
      <w:r>
        <w:rPr>
          <w:b/>
        </w:rPr>
        <w:t>.</w:t>
      </w:r>
    </w:p>
    <w:p w14:paraId="7FC74FED" w14:textId="00E33942" w:rsidR="00AE4B3E" w:rsidRPr="00AE4B3E" w:rsidRDefault="00AE4B3E" w:rsidP="00AE4B3E">
      <w:pPr>
        <w:pStyle w:val="ListParagraph"/>
      </w:pPr>
      <w:r w:rsidRPr="00AE4B3E">
        <w:t>That any concerns raised are taken seriously</w:t>
      </w:r>
      <w:r>
        <w:rPr>
          <w:b/>
        </w:rPr>
        <w:t>.</w:t>
      </w:r>
    </w:p>
    <w:p w14:paraId="170F6E85" w14:textId="27F0174A" w:rsidR="00AE4B3E" w:rsidRPr="00AE4B3E" w:rsidRDefault="00AE4B3E" w:rsidP="00AE4B3E">
      <w:pPr>
        <w:pStyle w:val="ListParagraph"/>
      </w:pPr>
      <w:r w:rsidRPr="00AE4B3E">
        <w:t>That any issue is investigated properly and that the employee is kept advised of progress</w:t>
      </w:r>
      <w:r>
        <w:rPr>
          <w:b/>
        </w:rPr>
        <w:t>.</w:t>
      </w:r>
    </w:p>
    <w:p w14:paraId="460F9552" w14:textId="09283EDD" w:rsidR="00AE4B3E" w:rsidRPr="00AE4B3E" w:rsidRDefault="00AE4B3E" w:rsidP="00AE4B3E">
      <w:pPr>
        <w:pStyle w:val="ListParagraph"/>
      </w:pPr>
      <w:r w:rsidRPr="00AE4B3E">
        <w:t>That any action necessary to resolve the issue is taken</w:t>
      </w:r>
      <w:r>
        <w:rPr>
          <w:b/>
        </w:rPr>
        <w:t>.</w:t>
      </w:r>
    </w:p>
    <w:p w14:paraId="78B5D21D" w14:textId="77777777" w:rsidR="001679D4" w:rsidRDefault="00AE4B3E" w:rsidP="00AE4B3E">
      <w:pPr>
        <w:pStyle w:val="ListParagraph"/>
      </w:pPr>
      <w:r w:rsidRPr="00AE4B3E">
        <w:t>That no employees who express their views and concerns in accordance with this policy will be in any way penalised for doing so.</w:t>
      </w:r>
    </w:p>
    <w:p w14:paraId="5B84F3DE" w14:textId="662674DC" w:rsidR="00AE4B3E" w:rsidRDefault="001679D4" w:rsidP="00AE4B3E">
      <w:pPr>
        <w:pStyle w:val="ListParagraph"/>
      </w:pPr>
      <w:r>
        <w:t>That a culture of openness is promoted throughout the organisation.</w:t>
      </w:r>
      <w:r w:rsidR="00AE4B3E" w:rsidRPr="00AE4B3E">
        <w:t xml:space="preserve"> </w:t>
      </w:r>
    </w:p>
    <w:p w14:paraId="6C5E1587" w14:textId="4EF4C522" w:rsidR="001E3ABC" w:rsidRPr="006A1F33" w:rsidRDefault="001E3ABC" w:rsidP="00AE4B3E">
      <w:pPr>
        <w:pStyle w:val="ListParagraph"/>
      </w:pPr>
      <w:r w:rsidRPr="006A1F33">
        <w:t xml:space="preserve">That they are familiar with the guidance in </w:t>
      </w:r>
      <w:r w:rsidRPr="006A1F33">
        <w:rPr>
          <w:b/>
          <w:bCs/>
        </w:rPr>
        <w:t>Appendix C</w:t>
      </w:r>
      <w:r w:rsidR="00147401" w:rsidRPr="006A1F33">
        <w:t>.</w:t>
      </w:r>
    </w:p>
    <w:p w14:paraId="66745BBA" w14:textId="77777777" w:rsidR="00C84931" w:rsidRPr="00AE4B3E" w:rsidRDefault="00C84931" w:rsidP="00C84931">
      <w:pPr>
        <w:pStyle w:val="ListParagraph"/>
        <w:numPr>
          <w:ilvl w:val="0"/>
          <w:numId w:val="0"/>
        </w:numPr>
        <w:ind w:left="1474"/>
      </w:pPr>
    </w:p>
    <w:p w14:paraId="5F8853CC" w14:textId="3B2C0F6C" w:rsidR="00F913CD" w:rsidRPr="00A761AE" w:rsidRDefault="00F913CD" w:rsidP="00A761AE">
      <w:pPr>
        <w:pStyle w:val="Heading3"/>
        <w:rPr>
          <w:b/>
          <w:bCs/>
        </w:rPr>
      </w:pPr>
      <w:bookmarkStart w:id="27" w:name="_Toc152597535"/>
      <w:r w:rsidRPr="00A761AE">
        <w:rPr>
          <w:b/>
          <w:bCs/>
        </w:rPr>
        <w:t>All Staff</w:t>
      </w:r>
      <w:bookmarkEnd w:id="26"/>
      <w:bookmarkEnd w:id="27"/>
    </w:p>
    <w:p w14:paraId="49A0E66A" w14:textId="07037B5F" w:rsidR="00A145D8" w:rsidRDefault="00AE4B3E" w:rsidP="00A145D8">
      <w:pPr>
        <w:pStyle w:val="Style2"/>
      </w:pPr>
      <w:bookmarkStart w:id="28" w:name="_Toc84611056"/>
      <w:bookmarkStart w:id="29" w:name="_Toc89326548"/>
      <w:r w:rsidRPr="00AE4B3E">
        <w:t>All staff</w:t>
      </w:r>
      <w:r w:rsidR="00A145D8">
        <w:rPr>
          <w:b/>
        </w:rPr>
        <w:t xml:space="preserve"> </w:t>
      </w:r>
      <w:r w:rsidRPr="00AE4B3E">
        <w:t>should</w:t>
      </w:r>
      <w:r w:rsidR="00A145D8">
        <w:t>:</w:t>
      </w:r>
    </w:p>
    <w:p w14:paraId="16AF04F7" w14:textId="6D3D2A18" w:rsidR="00A145D8" w:rsidRDefault="00AE4B3E" w:rsidP="00A145D8">
      <w:pPr>
        <w:pStyle w:val="ListParagraph"/>
      </w:pPr>
      <w:r w:rsidRPr="00A145D8">
        <w:t xml:space="preserve">Raise concerns relating to patient care, </w:t>
      </w:r>
      <w:proofErr w:type="gramStart"/>
      <w:r w:rsidRPr="00A145D8">
        <w:t>fraud</w:t>
      </w:r>
      <w:proofErr w:type="gramEnd"/>
      <w:r w:rsidRPr="00A145D8">
        <w:t xml:space="preserve"> or any </w:t>
      </w:r>
      <w:r w:rsidR="00A145D8">
        <w:t xml:space="preserve">other relevant concerns </w:t>
      </w:r>
      <w:r w:rsidRPr="00A145D8">
        <w:t>in accordance with this policy</w:t>
      </w:r>
      <w:r w:rsidR="006618C6">
        <w:t>.</w:t>
      </w:r>
    </w:p>
    <w:p w14:paraId="4334397C" w14:textId="77777777" w:rsidR="00A145D8" w:rsidRDefault="00AE4B3E" w:rsidP="00A145D8">
      <w:pPr>
        <w:pStyle w:val="ListParagraph"/>
      </w:pPr>
      <w:r w:rsidRPr="00A145D8">
        <w:t>Exhaust the avenues within the policy before considering approaching external agencies or the media</w:t>
      </w:r>
      <w:r w:rsidR="00A145D8">
        <w:t>.</w:t>
      </w:r>
    </w:p>
    <w:p w14:paraId="0079C255" w14:textId="19B15F3D" w:rsidR="00F913CD" w:rsidRDefault="00AE4B3E" w:rsidP="00A145D8">
      <w:pPr>
        <w:pStyle w:val="ListParagraph"/>
      </w:pPr>
      <w:r w:rsidRPr="00A145D8">
        <w:t xml:space="preserve">Maintain the confidentiality of patients and of the </w:t>
      </w:r>
      <w:r w:rsidR="00A145D8">
        <w:t>ICB</w:t>
      </w:r>
      <w:r w:rsidRPr="00A145D8">
        <w:t xml:space="preserve"> (notwithstanding the provisions of the PIDA). Advice should be sought from an individual’s trade union or professional association before disclosing confidential information, even if it is deemed to be in the public interest. Unauthorised disclosure of personal information about any patient or colleagues will be regarded as a serious matter and may lead to disciplinary action</w:t>
      </w:r>
      <w:bookmarkEnd w:id="28"/>
      <w:bookmarkEnd w:id="29"/>
      <w:r w:rsidR="00A145D8">
        <w:t>.</w:t>
      </w:r>
    </w:p>
    <w:p w14:paraId="449F69D9" w14:textId="684655ED" w:rsidR="00991344" w:rsidRPr="0015255F" w:rsidRDefault="00991344" w:rsidP="00D7524B">
      <w:pPr>
        <w:pStyle w:val="Heading2"/>
      </w:pPr>
      <w:bookmarkStart w:id="30" w:name="_Toc152597536"/>
      <w:r>
        <w:t>Policy Detail</w:t>
      </w:r>
      <w:bookmarkEnd w:id="30"/>
    </w:p>
    <w:p w14:paraId="3A38315F" w14:textId="42ECFB4D" w:rsidR="007D4141" w:rsidRDefault="00744E44" w:rsidP="00BD7AA4">
      <w:pPr>
        <w:pStyle w:val="Heading3"/>
        <w:ind w:right="0"/>
      </w:pPr>
      <w:bookmarkStart w:id="31" w:name="_Toc152597537"/>
      <w:r w:rsidRPr="007D4141">
        <w:rPr>
          <w:b/>
          <w:bCs/>
        </w:rPr>
        <w:t>What concerns can I raise?</w:t>
      </w:r>
      <w:bookmarkEnd w:id="31"/>
    </w:p>
    <w:p w14:paraId="537ED754" w14:textId="500B2F5B" w:rsidR="007D4141" w:rsidRPr="00187609" w:rsidRDefault="007D4141" w:rsidP="00537398">
      <w:pPr>
        <w:pStyle w:val="Style2"/>
      </w:pPr>
      <w:r w:rsidRPr="00187609">
        <w:t>You can speak up about anything that gets in the way of patient care or affects your working life. That could be something which doesn’t feel right to you: for example,</w:t>
      </w:r>
      <w:r w:rsidR="00EC2E35">
        <w:t xml:space="preserve"> </w:t>
      </w:r>
      <w:r w:rsidRPr="00187609">
        <w:t>a way of working or a process that isn’t being followed; you feel you are being discriminated against; or you feel the behaviours of others is affecting your wellbeing, or that of your colleagues or patients.</w:t>
      </w:r>
    </w:p>
    <w:p w14:paraId="58609BAD" w14:textId="77777777" w:rsidR="007D4141" w:rsidRPr="00187609" w:rsidRDefault="007D4141" w:rsidP="00BD7AA4">
      <w:pPr>
        <w:pStyle w:val="Heading3"/>
        <w:numPr>
          <w:ilvl w:val="0"/>
          <w:numId w:val="0"/>
        </w:numPr>
        <w:ind w:left="1134"/>
      </w:pPr>
      <w:r w:rsidRPr="00187609">
        <w:t>Speaking up is about all of these things.</w:t>
      </w:r>
    </w:p>
    <w:p w14:paraId="0EC71CDF" w14:textId="62689BC5" w:rsidR="0079014F" w:rsidRPr="00F002CC" w:rsidRDefault="007D4141" w:rsidP="00BD7AA4">
      <w:pPr>
        <w:pStyle w:val="Heading3"/>
        <w:numPr>
          <w:ilvl w:val="0"/>
          <w:numId w:val="0"/>
        </w:numPr>
        <w:ind w:left="1134"/>
      </w:pPr>
      <w:r w:rsidRPr="00187609">
        <w:t xml:space="preserve">Speaking up, therefore, captures a range of issues, some of which may be appropriate for other existing processes (for example, HR or patient </w:t>
      </w:r>
      <w:r w:rsidRPr="00F002CC">
        <w:t xml:space="preserve">safety/quality) for </w:t>
      </w:r>
      <w:proofErr w:type="gramStart"/>
      <w:r w:rsidRPr="00F002CC">
        <w:t>example;</w:t>
      </w:r>
      <w:proofErr w:type="gramEnd"/>
    </w:p>
    <w:p w14:paraId="159F2697" w14:textId="733F711D" w:rsidR="00BD7AA4" w:rsidRDefault="008320CF" w:rsidP="00BD7AA4">
      <w:pPr>
        <w:pStyle w:val="Heading3"/>
        <w:numPr>
          <w:ilvl w:val="0"/>
          <w:numId w:val="0"/>
        </w:numPr>
        <w:ind w:left="1134"/>
      </w:pPr>
      <w:hyperlink r:id="rId13" w:history="1">
        <w:r w:rsidR="002F2E8F" w:rsidRPr="002F2E8F">
          <w:rPr>
            <w:rStyle w:val="Hyperlink"/>
          </w:rPr>
          <w:t>ICB Grievance Policy</w:t>
        </w:r>
      </w:hyperlink>
      <w:r w:rsidR="002F2E8F" w:rsidRPr="002F2E8F">
        <w:t xml:space="preserve">, </w:t>
      </w:r>
      <w:hyperlink r:id="rId14" w:history="1">
        <w:r w:rsidR="002F2E8F" w:rsidRPr="002F2E8F">
          <w:rPr>
            <w:rStyle w:val="Hyperlink"/>
          </w:rPr>
          <w:t>ICB Dignity at Work Policy</w:t>
        </w:r>
      </w:hyperlink>
      <w:r w:rsidR="002F2E8F" w:rsidRPr="002F2E8F">
        <w:t xml:space="preserve">, </w:t>
      </w:r>
      <w:hyperlink r:id="rId15" w:history="1">
        <w:r w:rsidR="002F2E8F" w:rsidRPr="002F2E8F">
          <w:rPr>
            <w:rStyle w:val="Hyperlink"/>
          </w:rPr>
          <w:t>PSIRF Policy</w:t>
        </w:r>
      </w:hyperlink>
      <w:r w:rsidR="002F2E8F" w:rsidRPr="002F2E8F">
        <w:t xml:space="preserve"> </w:t>
      </w:r>
      <w:r w:rsidR="007D4141" w:rsidRPr="002F2E8F">
        <w:t>That’s fine</w:t>
      </w:r>
      <w:r w:rsidR="007D4141" w:rsidRPr="00F002CC">
        <w:t>. As an organisation, we will listen and work with you to identify the most appropriate way of responding to the issue you raise.</w:t>
      </w:r>
    </w:p>
    <w:p w14:paraId="05228C42" w14:textId="2C9BE5DE" w:rsidR="00321BB8" w:rsidRDefault="00143F39" w:rsidP="00321BB8">
      <w:pPr>
        <w:pStyle w:val="Style2"/>
        <w:rPr>
          <w:rStyle w:val="Heading3Char"/>
        </w:rPr>
      </w:pPr>
      <w:r w:rsidRPr="00321BB8">
        <w:rPr>
          <w:rStyle w:val="Heading3Char"/>
        </w:rPr>
        <w:t>R</w:t>
      </w:r>
      <w:r w:rsidR="0074310A" w:rsidRPr="00321BB8">
        <w:rPr>
          <w:rStyle w:val="Heading3Char"/>
        </w:rPr>
        <w:t>emember that if you are a healthcare professional you may have a professional duty to report a concern. If in doubt, please raise it. Do</w:t>
      </w:r>
      <w:r w:rsidR="00537398">
        <w:rPr>
          <w:rStyle w:val="Heading3Char"/>
        </w:rPr>
        <w:t xml:space="preserve"> not</w:t>
      </w:r>
      <w:r w:rsidR="0074310A" w:rsidRPr="00321BB8">
        <w:rPr>
          <w:rStyle w:val="Heading3Char"/>
        </w:rPr>
        <w:t xml:space="preserve"> wait for proof. We would like you to raise the matter while it is still a concern. It does</w:t>
      </w:r>
      <w:r w:rsidR="00537398">
        <w:rPr>
          <w:rStyle w:val="Heading3Char"/>
        </w:rPr>
        <w:t xml:space="preserve"> not</w:t>
      </w:r>
      <w:r w:rsidR="0074310A" w:rsidRPr="00321BB8">
        <w:rPr>
          <w:rStyle w:val="Heading3Char"/>
        </w:rPr>
        <w:t xml:space="preserve"> matter if you turn out to be mistaken as long as you are genuinely troubled.</w:t>
      </w:r>
    </w:p>
    <w:p w14:paraId="3BAEB807" w14:textId="7F7D4DE7" w:rsidR="00F913CD" w:rsidRPr="00321BB8" w:rsidRDefault="0074310A" w:rsidP="00321BB8">
      <w:pPr>
        <w:pStyle w:val="Style2"/>
        <w:rPr>
          <w:rFonts w:asciiTheme="majorHAnsi" w:eastAsiaTheme="majorEastAsia" w:hAnsiTheme="majorHAnsi" w:cstheme="majorBidi"/>
        </w:rPr>
      </w:pPr>
      <w:r w:rsidRPr="00BD7AA4">
        <w:t xml:space="preserve">This policy is not for people with concerns about their employment that affect only them – that type of concern is better suited to our </w:t>
      </w:r>
      <w:hyperlink r:id="rId16" w:history="1">
        <w:r w:rsidRPr="00321BB8">
          <w:rPr>
            <w:rStyle w:val="Hyperlink"/>
            <w:color w:val="231F20" w:themeColor="text1"/>
            <w:u w:val="none"/>
          </w:rPr>
          <w:t>grievance policy</w:t>
        </w:r>
      </w:hyperlink>
      <w:r w:rsidRPr="00BD7AA4">
        <w:t xml:space="preserve"> .</w:t>
      </w:r>
    </w:p>
    <w:p w14:paraId="31003183" w14:textId="074FA4B3" w:rsidR="00143F39" w:rsidRDefault="003716AE" w:rsidP="00143F39">
      <w:pPr>
        <w:pStyle w:val="Heading3"/>
        <w:rPr>
          <w:b/>
          <w:bCs/>
        </w:rPr>
      </w:pPr>
      <w:bookmarkStart w:id="32" w:name="_Toc152597538"/>
      <w:r w:rsidRPr="00A761AE">
        <w:rPr>
          <w:b/>
          <w:bCs/>
        </w:rPr>
        <w:t xml:space="preserve">Feel safe to raise your </w:t>
      </w:r>
      <w:proofErr w:type="gramStart"/>
      <w:r w:rsidRPr="00A761AE">
        <w:rPr>
          <w:b/>
          <w:bCs/>
        </w:rPr>
        <w:t>concerns</w:t>
      </w:r>
      <w:bookmarkEnd w:id="32"/>
      <w:proofErr w:type="gramEnd"/>
    </w:p>
    <w:p w14:paraId="31AA1E27" w14:textId="655108FD" w:rsidR="00143F39" w:rsidRPr="00B13E4E" w:rsidRDefault="00143F39" w:rsidP="00134368">
      <w:pPr>
        <w:spacing w:after="0" w:line="292" w:lineRule="auto"/>
        <w:ind w:right="-24" w:hanging="1134"/>
      </w:pPr>
      <w:r>
        <w:t xml:space="preserve">6.2.1 </w:t>
      </w:r>
      <w:r w:rsidR="00550496">
        <w:tab/>
      </w:r>
      <w:r w:rsidRPr="00B13E4E">
        <w:t xml:space="preserve">You </w:t>
      </w:r>
      <w:proofErr w:type="gramStart"/>
      <w:r w:rsidRPr="00B13E4E">
        <w:t>speaking</w:t>
      </w:r>
      <w:proofErr w:type="gramEnd"/>
      <w:r w:rsidRPr="00B13E4E">
        <w:t xml:space="preserve"> up to us is a gift because it helps us identify opportunities for improvement that we might not otherwise know about.</w:t>
      </w:r>
    </w:p>
    <w:p w14:paraId="2D7A533D" w14:textId="46C5A894" w:rsidR="00143F39" w:rsidRPr="00B13E4E" w:rsidRDefault="00143F39" w:rsidP="00B13E4E">
      <w:pPr>
        <w:spacing w:after="0" w:line="292" w:lineRule="auto"/>
        <w:ind w:right="112"/>
      </w:pPr>
      <w:r>
        <w:lastRenderedPageBreak/>
        <w:t>W</w:t>
      </w:r>
      <w:r w:rsidRPr="00B13E4E">
        <w:t>e will not tolerate anyone being prevented or deterred from speaking up or being mistreated because they have spoken up.</w:t>
      </w:r>
    </w:p>
    <w:p w14:paraId="07C51F25" w14:textId="1F1B8787" w:rsidR="003716AE" w:rsidRDefault="00143F39" w:rsidP="00B13E4E">
      <w:pPr>
        <w:pStyle w:val="Style2"/>
        <w:numPr>
          <w:ilvl w:val="0"/>
          <w:numId w:val="0"/>
        </w:numPr>
        <w:ind w:left="1134" w:hanging="1134"/>
      </w:pPr>
      <w:r>
        <w:t xml:space="preserve">6.2.2. </w:t>
      </w:r>
      <w:r w:rsidR="00550496">
        <w:tab/>
      </w:r>
      <w:r w:rsidR="003716AE">
        <w:t>Provided you are acting honestly, it does not matter if you are mistaken or if there is an innocent explanation for your concerns.</w:t>
      </w:r>
    </w:p>
    <w:p w14:paraId="5DFBDED2" w14:textId="14AD939F" w:rsidR="00A9291F" w:rsidRPr="00DB4FC6" w:rsidRDefault="003716AE" w:rsidP="00DB4FC6">
      <w:pPr>
        <w:pStyle w:val="Heading3"/>
        <w:rPr>
          <w:rFonts w:asciiTheme="minorHAnsi" w:eastAsiaTheme="minorHAnsi" w:hAnsiTheme="minorHAnsi" w:cstheme="minorBidi"/>
          <w:b/>
          <w:bCs/>
        </w:rPr>
      </w:pPr>
      <w:bookmarkStart w:id="33" w:name="_Toc152597539"/>
      <w:r w:rsidRPr="00DB4FC6">
        <w:rPr>
          <w:b/>
          <w:bCs/>
        </w:rPr>
        <w:t>Confidentiality</w:t>
      </w:r>
      <w:bookmarkStart w:id="34" w:name="_Toc152597540"/>
      <w:bookmarkEnd w:id="33"/>
    </w:p>
    <w:p w14:paraId="4FCAD761" w14:textId="55E6B861" w:rsidR="009E1F59" w:rsidRDefault="00143F39" w:rsidP="000E7402">
      <w:pPr>
        <w:pStyle w:val="Style7"/>
      </w:pPr>
      <w:r w:rsidRPr="00A9291F">
        <w:t>The most important aspect of your speaking up is the information you can provide, not your identity.</w:t>
      </w:r>
      <w:bookmarkStart w:id="35" w:name="_Toc152597541"/>
      <w:bookmarkEnd w:id="34"/>
    </w:p>
    <w:p w14:paraId="51A1476C" w14:textId="77777777" w:rsidR="009E1F59" w:rsidRDefault="009E1F59" w:rsidP="000E7402">
      <w:pPr>
        <w:pStyle w:val="Style7"/>
        <w:numPr>
          <w:ilvl w:val="0"/>
          <w:numId w:val="0"/>
        </w:numPr>
        <w:ind w:left="1134"/>
      </w:pPr>
      <w:r w:rsidRPr="00B13E4E">
        <w:t>You have a choice about how you speak up:</w:t>
      </w:r>
      <w:bookmarkStart w:id="36" w:name="_Toc152597542"/>
    </w:p>
    <w:p w14:paraId="07A677CE" w14:textId="1A6633D6" w:rsidR="009E1F59" w:rsidRDefault="009E1F59" w:rsidP="00C84931">
      <w:pPr>
        <w:pStyle w:val="ListParagraph"/>
      </w:pPr>
      <w:r w:rsidRPr="00B13E4E">
        <w:t>Openly: you are happy that the person you speak up to knows your identity and that they can share this with anyone else involved in responding.</w:t>
      </w:r>
      <w:bookmarkStart w:id="37" w:name="_Toc152597543"/>
      <w:bookmarkEnd w:id="36"/>
    </w:p>
    <w:p w14:paraId="0D05562B" w14:textId="54B9B1AB" w:rsidR="009E1F59" w:rsidRDefault="009E1F59" w:rsidP="00C84931">
      <w:pPr>
        <w:pStyle w:val="ListParagraph"/>
      </w:pPr>
      <w:r w:rsidRPr="00B13E4E">
        <w:t>Confidentially: you are happy to reveal your identity to the person you choose to speak up to on the condition that they will not share this without your consent.</w:t>
      </w:r>
      <w:bookmarkStart w:id="38" w:name="_Toc152597544"/>
      <w:bookmarkEnd w:id="37"/>
    </w:p>
    <w:p w14:paraId="636239A4" w14:textId="00E4F758" w:rsidR="009E1F59" w:rsidRPr="00C84931" w:rsidRDefault="009E1F59" w:rsidP="00C84931">
      <w:pPr>
        <w:pStyle w:val="ListParagraph"/>
      </w:pPr>
      <w:r w:rsidRPr="00B13E4E">
        <w:t>Anonymously: you do not want to reveal your identity to anyone. This can make it difficult for others to ask you for further information about the matter and may make it more complicated to act to resolve the issue. It also means that you might not be able to access any extra support you need and receive any feedback on the outcome.</w:t>
      </w:r>
      <w:bookmarkEnd w:id="38"/>
    </w:p>
    <w:p w14:paraId="0E258D10" w14:textId="6C15F51C" w:rsidR="009E1F59" w:rsidRPr="009E1F59" w:rsidRDefault="009E1F59" w:rsidP="009E1F59">
      <w:pPr>
        <w:pStyle w:val="Heading2"/>
        <w:numPr>
          <w:ilvl w:val="0"/>
          <w:numId w:val="0"/>
        </w:numPr>
        <w:ind w:left="1134"/>
        <w:rPr>
          <w:rFonts w:asciiTheme="minorHAnsi" w:eastAsiaTheme="minorHAnsi" w:hAnsiTheme="minorHAnsi" w:cstheme="minorBidi"/>
          <w:b w:val="0"/>
          <w:color w:val="231F20" w:themeColor="text1"/>
          <w:sz w:val="24"/>
          <w:szCs w:val="24"/>
        </w:rPr>
      </w:pPr>
      <w:bookmarkStart w:id="39" w:name="_Toc152597545"/>
      <w:r w:rsidRPr="00B13E4E">
        <w:rPr>
          <w:rFonts w:asciiTheme="minorHAnsi" w:eastAsiaTheme="minorHAnsi" w:hAnsiTheme="minorHAnsi" w:cstheme="minorBidi"/>
          <w:b w:val="0"/>
          <w:color w:val="231F20" w:themeColor="text1"/>
          <w:sz w:val="24"/>
          <w:szCs w:val="24"/>
        </w:rPr>
        <w:t>In all circumstances, please be ready to explain as fully as you can the information and circumstances that prompted you to speak up.</w:t>
      </w:r>
      <w:bookmarkEnd w:id="39"/>
    </w:p>
    <w:p w14:paraId="6BD96E58" w14:textId="161596C1" w:rsidR="000E7402" w:rsidRDefault="00387089" w:rsidP="000E7402">
      <w:pPr>
        <w:pStyle w:val="Heading3"/>
        <w:ind w:left="993" w:hanging="993"/>
        <w:rPr>
          <w:b/>
          <w:bCs/>
        </w:rPr>
      </w:pPr>
      <w:bookmarkStart w:id="40" w:name="_Toc152597546"/>
      <w:bookmarkEnd w:id="35"/>
      <w:r>
        <w:rPr>
          <w:b/>
          <w:bCs/>
        </w:rPr>
        <w:t xml:space="preserve">  </w:t>
      </w:r>
      <w:r w:rsidR="003716AE" w:rsidRPr="00A761AE">
        <w:rPr>
          <w:b/>
          <w:bCs/>
        </w:rPr>
        <w:t>Who can</w:t>
      </w:r>
      <w:r w:rsidR="00143F39">
        <w:rPr>
          <w:b/>
          <w:bCs/>
        </w:rPr>
        <w:t xml:space="preserve"> speak up</w:t>
      </w:r>
      <w:r w:rsidR="003716AE" w:rsidRPr="00A761AE">
        <w:rPr>
          <w:b/>
          <w:bCs/>
        </w:rPr>
        <w:t>?</w:t>
      </w:r>
      <w:bookmarkEnd w:id="40"/>
    </w:p>
    <w:p w14:paraId="4B340887" w14:textId="762B55A6" w:rsidR="000E7402" w:rsidRDefault="00143F39" w:rsidP="000E7402">
      <w:pPr>
        <w:pStyle w:val="Style7"/>
        <w:rPr>
          <w:b/>
          <w:bCs/>
        </w:rPr>
      </w:pPr>
      <w:r w:rsidRPr="000E7402">
        <w:rPr>
          <w:rStyle w:val="Heading3Char"/>
        </w:rPr>
        <w:t>Anyone who works in NHS healthcare, including pharmacy, optometry, and dentistry. This encompasses any healthcare professionals, non-clinical workers, receptionists, directors, managers, contractors, volunteers, students, trainees, junior doctors, locum, bank and agency workers, and former workers.</w:t>
      </w:r>
    </w:p>
    <w:p w14:paraId="76330BC7" w14:textId="192C1526" w:rsidR="00F82C96" w:rsidRPr="000E7402" w:rsidRDefault="00B563F8" w:rsidP="000E7402">
      <w:pPr>
        <w:pStyle w:val="Style7"/>
        <w:rPr>
          <w:b/>
          <w:bCs/>
        </w:rPr>
      </w:pPr>
      <w:r w:rsidRPr="000E7402">
        <w:t>Whilst this policy relates primarily to whistleblowing by NHS workers, on occasions members of the public may also raise whistleblowing concerns where attempts to resolve these concerns via other means such as the NHS complaints procedure have been disregarded or overruled without due cause.  In such instances, the wrongdoing disclosed must be in the public interest, that is it must affect others and not just the individual.</w:t>
      </w:r>
    </w:p>
    <w:p w14:paraId="6300DF3F" w14:textId="77777777" w:rsidR="000E7402" w:rsidRDefault="003716AE" w:rsidP="005B0544">
      <w:pPr>
        <w:pStyle w:val="Heading3"/>
        <w:rPr>
          <w:b/>
          <w:bCs/>
        </w:rPr>
      </w:pPr>
      <w:bookmarkStart w:id="41" w:name="_Toc152597547"/>
      <w:r w:rsidRPr="00A761AE">
        <w:rPr>
          <w:b/>
          <w:bCs/>
        </w:rPr>
        <w:t xml:space="preserve">Who should I </w:t>
      </w:r>
      <w:r w:rsidR="00A95749">
        <w:rPr>
          <w:b/>
          <w:bCs/>
        </w:rPr>
        <w:t>speak up to</w:t>
      </w:r>
      <w:r w:rsidRPr="00A761AE">
        <w:rPr>
          <w:b/>
          <w:bCs/>
        </w:rPr>
        <w:t>?</w:t>
      </w:r>
      <w:bookmarkEnd w:id="41"/>
    </w:p>
    <w:p w14:paraId="4C5E357A" w14:textId="77777777" w:rsidR="000E7402" w:rsidRDefault="000D6731" w:rsidP="000E7402">
      <w:pPr>
        <w:pStyle w:val="Heading3"/>
        <w:numPr>
          <w:ilvl w:val="0"/>
          <w:numId w:val="0"/>
        </w:numPr>
        <w:ind w:left="1134" w:right="0"/>
        <w:rPr>
          <w:b/>
          <w:bCs/>
        </w:rPr>
      </w:pPr>
      <w:r w:rsidRPr="000E7402">
        <w:rPr>
          <w:rFonts w:cstheme="majorHAnsi"/>
          <w:b/>
          <w:bCs/>
        </w:rPr>
        <w:t>Speaking up internally</w:t>
      </w:r>
    </w:p>
    <w:p w14:paraId="538446F4" w14:textId="04DA78F0" w:rsidR="00F20894" w:rsidRPr="000E7402" w:rsidRDefault="00F20894" w:rsidP="000E7402">
      <w:pPr>
        <w:pStyle w:val="Heading3"/>
        <w:numPr>
          <w:ilvl w:val="0"/>
          <w:numId w:val="0"/>
        </w:numPr>
        <w:ind w:left="1134" w:right="0"/>
        <w:rPr>
          <w:b/>
          <w:bCs/>
        </w:rPr>
      </w:pPr>
      <w:r w:rsidRPr="000E7402">
        <w:t>Most speaking up happens through conversations with supervisors and line</w:t>
      </w:r>
      <w:r w:rsidR="000E7402" w:rsidRPr="000E7402">
        <w:t xml:space="preserve"> </w:t>
      </w:r>
      <w:r w:rsidRPr="000E7402">
        <w:t>managers where challenges are raised and resolved quickly. We strive for a culture where that is normal, everyday practice and encourage you to explore this option – it may well be the easiest and simplest way of resolving matters.</w:t>
      </w:r>
    </w:p>
    <w:p w14:paraId="38F12018" w14:textId="4ECF89BB" w:rsidR="00F20894" w:rsidRPr="000E7402" w:rsidRDefault="00F20894" w:rsidP="000E7402">
      <w:pPr>
        <w:pStyle w:val="Heading3"/>
        <w:numPr>
          <w:ilvl w:val="0"/>
          <w:numId w:val="0"/>
        </w:numPr>
        <w:ind w:left="1134"/>
      </w:pPr>
      <w:r w:rsidRPr="000E7402">
        <w:lastRenderedPageBreak/>
        <w:t>However, you have other options in terms of who you can speak up to, depending on what feels most appropriate to you:</w:t>
      </w:r>
    </w:p>
    <w:p w14:paraId="7B10C895" w14:textId="16FAE071" w:rsidR="00F20894" w:rsidRDefault="00F20894" w:rsidP="005B0544">
      <w:pPr>
        <w:pStyle w:val="ListParagraph"/>
      </w:pPr>
      <w:r w:rsidRPr="000E7402">
        <w:t>Senior manager, partner</w:t>
      </w:r>
      <w:r w:rsidR="006618C6">
        <w:t>,</w:t>
      </w:r>
      <w:r w:rsidRPr="000E7402">
        <w:t xml:space="preserve"> or director with responsibility for the subject matter you are speaking up about.</w:t>
      </w:r>
    </w:p>
    <w:p w14:paraId="30657EF3" w14:textId="77777777" w:rsidR="005B0544" w:rsidRPr="000E7402" w:rsidRDefault="005B0544" w:rsidP="005B0544">
      <w:pPr>
        <w:pStyle w:val="ListParagraph"/>
        <w:numPr>
          <w:ilvl w:val="0"/>
          <w:numId w:val="0"/>
        </w:numPr>
        <w:ind w:left="1900"/>
      </w:pPr>
    </w:p>
    <w:p w14:paraId="4DEC0147" w14:textId="27FE49BE" w:rsidR="00F20894" w:rsidRDefault="00F20894" w:rsidP="005B0544">
      <w:pPr>
        <w:pStyle w:val="ListParagraph"/>
      </w:pPr>
      <w:r w:rsidRPr="000E7402">
        <w:t>The patient safety team or clinical governance team (where concerns relate to patient safety or wider quality) contact Viv Barker Director of Nursing and Patient safety.</w:t>
      </w:r>
    </w:p>
    <w:p w14:paraId="0B4B642F" w14:textId="77777777" w:rsidR="005B0544" w:rsidRPr="000E7402" w:rsidRDefault="005B0544" w:rsidP="005B0544">
      <w:pPr>
        <w:pStyle w:val="ListParagraph"/>
        <w:numPr>
          <w:ilvl w:val="0"/>
          <w:numId w:val="0"/>
        </w:numPr>
        <w:ind w:left="1900"/>
      </w:pPr>
    </w:p>
    <w:p w14:paraId="41A3EBF0" w14:textId="30BDB004" w:rsidR="00F20894" w:rsidRDefault="00F20894" w:rsidP="005B0544">
      <w:pPr>
        <w:pStyle w:val="ListParagraph"/>
      </w:pPr>
      <w:r w:rsidRPr="000E7402">
        <w:t xml:space="preserve">Our MSE ICB Freedom to Speak Up Guardian is George Wood who can be contacted at George.Wood5@nhs.net who can support you to speak up if you feel unable to do so by other routes. George is a non-executive member of the MSE Integrated Care Board. George as the guardian, will ensure that people who speak up are thanked for doing so, that the issues they raise are responded to, and that the person speaking up receives feedback on the actions taken. </w:t>
      </w:r>
      <w:r w:rsidRPr="006F61CF">
        <w:t>You can find out more about the guardian role</w:t>
      </w:r>
      <w:r w:rsidR="006F61CF" w:rsidRPr="006F61CF">
        <w:t xml:space="preserve"> </w:t>
      </w:r>
      <w:hyperlink r:id="rId17" w:history="1">
        <w:r w:rsidR="006F61CF" w:rsidRPr="006F61CF">
          <w:rPr>
            <w:rStyle w:val="Hyperlink"/>
          </w:rPr>
          <w:t>here</w:t>
        </w:r>
      </w:hyperlink>
      <w:r w:rsidRPr="006F61CF">
        <w:t>.</w:t>
      </w:r>
    </w:p>
    <w:p w14:paraId="54E9BC4B" w14:textId="77777777" w:rsidR="005B0544" w:rsidRPr="000E7402" w:rsidRDefault="005B0544" w:rsidP="005B0544">
      <w:pPr>
        <w:pStyle w:val="ListParagraph"/>
        <w:numPr>
          <w:ilvl w:val="0"/>
          <w:numId w:val="0"/>
        </w:numPr>
        <w:ind w:left="1900"/>
      </w:pPr>
    </w:p>
    <w:p w14:paraId="1EF0E37C" w14:textId="07C16D7D" w:rsidR="00F20894" w:rsidRPr="005B0544" w:rsidRDefault="00F20894" w:rsidP="005B0544">
      <w:pPr>
        <w:pStyle w:val="ListParagraph"/>
        <w:rPr>
          <w:rStyle w:val="Hyperlink"/>
          <w:color w:val="231F20" w:themeColor="text1"/>
          <w:u w:val="none"/>
        </w:rPr>
      </w:pPr>
      <w:r w:rsidRPr="000E7402">
        <w:t xml:space="preserve">Our HR team </w:t>
      </w:r>
      <w:hyperlink r:id="rId18" w:history="1">
        <w:r w:rsidR="006F61CF" w:rsidRPr="00F21250">
          <w:rPr>
            <w:rStyle w:val="Hyperlink"/>
          </w:rPr>
          <w:t>mseicb-me.essexhr-inbox@nhs.net</w:t>
        </w:r>
      </w:hyperlink>
    </w:p>
    <w:p w14:paraId="0B7A2133" w14:textId="77777777" w:rsidR="005B0544" w:rsidRPr="000E7402" w:rsidRDefault="005B0544" w:rsidP="005B0544">
      <w:pPr>
        <w:pStyle w:val="ListParagraph"/>
        <w:numPr>
          <w:ilvl w:val="0"/>
          <w:numId w:val="0"/>
        </w:numPr>
        <w:ind w:left="1900"/>
      </w:pPr>
    </w:p>
    <w:p w14:paraId="1A51A492" w14:textId="540BBA0C" w:rsidR="00F20894" w:rsidRDefault="00F20894" w:rsidP="005B0544">
      <w:pPr>
        <w:pStyle w:val="ListParagraph"/>
      </w:pPr>
      <w:r w:rsidRPr="000E7402">
        <w:t>Our senior leads responsible for Freedom to Speak are Nicola Adams</w:t>
      </w:r>
      <w:r w:rsidRPr="00B13E4E">
        <w:t xml:space="preserve"> Deputy Director of Governance and Risk and Kathy Bonney Interim Director of HR- they provide senior support for our speaking-up guardian and are responsible for reviewing the effectiveness of our FTSU arrangements.</w:t>
      </w:r>
    </w:p>
    <w:p w14:paraId="7F6513C8" w14:textId="77777777" w:rsidR="005B0544" w:rsidRDefault="005B0544" w:rsidP="005B0544">
      <w:pPr>
        <w:pStyle w:val="ListParagraph"/>
        <w:numPr>
          <w:ilvl w:val="0"/>
          <w:numId w:val="0"/>
        </w:numPr>
        <w:ind w:left="1900"/>
      </w:pPr>
    </w:p>
    <w:p w14:paraId="71F9D216" w14:textId="1BACD691" w:rsidR="00F20894" w:rsidRDefault="00F20894" w:rsidP="005B0544">
      <w:pPr>
        <w:pStyle w:val="ListParagraph"/>
      </w:pPr>
      <w:r w:rsidRPr="00B13E4E">
        <w:t>Our non-executive director responsible for Freedom to Speak is George Wood as above, who will provide a fresh pair of eyes to ensure that investigations are conducted with rigor; and help escalate issues, to the Chair of the Board where needed</w:t>
      </w:r>
      <w:r w:rsidR="008B1BD3">
        <w:t>.</w:t>
      </w:r>
    </w:p>
    <w:p w14:paraId="7F3EBFAD" w14:textId="77777777" w:rsidR="000E7402" w:rsidRDefault="000E7402" w:rsidP="000E7402">
      <w:pPr>
        <w:pStyle w:val="Heading3"/>
        <w:numPr>
          <w:ilvl w:val="0"/>
          <w:numId w:val="0"/>
        </w:numPr>
        <w:ind w:left="1134" w:right="0"/>
        <w:rPr>
          <w:rFonts w:cstheme="majorHAnsi"/>
          <w:b/>
          <w:bCs/>
        </w:rPr>
      </w:pPr>
      <w:r w:rsidRPr="000E7402">
        <w:rPr>
          <w:rFonts w:cstheme="majorHAnsi"/>
          <w:b/>
          <w:bCs/>
        </w:rPr>
        <w:t>Speaking up</w:t>
      </w:r>
      <w:r>
        <w:rPr>
          <w:rFonts w:cstheme="majorHAnsi"/>
          <w:b/>
          <w:bCs/>
        </w:rPr>
        <w:t xml:space="preserve"> externally</w:t>
      </w:r>
    </w:p>
    <w:p w14:paraId="35BAB13E" w14:textId="03BCDB89" w:rsidR="008B1BD3" w:rsidRPr="008B1BD3" w:rsidRDefault="008B1BD3" w:rsidP="000E7402">
      <w:pPr>
        <w:pStyle w:val="Heading3"/>
        <w:numPr>
          <w:ilvl w:val="0"/>
          <w:numId w:val="0"/>
        </w:numPr>
        <w:ind w:left="1134" w:right="0"/>
        <w:rPr>
          <w:rFonts w:cs="Times New Roman (Body CS)"/>
        </w:rPr>
      </w:pPr>
      <w:r w:rsidRPr="008B1BD3">
        <w:rPr>
          <w:rFonts w:cs="Times New Roman (Body CS)"/>
        </w:rPr>
        <w:t xml:space="preserve">If you do not want to speak up to someone within the ICB, you can speak up externally to: </w:t>
      </w:r>
    </w:p>
    <w:p w14:paraId="206174BE" w14:textId="1E9431E2" w:rsidR="008B1BD3" w:rsidRDefault="008B1BD3">
      <w:pPr>
        <w:pStyle w:val="ListParagraph"/>
        <w:numPr>
          <w:ilvl w:val="0"/>
          <w:numId w:val="20"/>
        </w:numPr>
        <w:spacing w:before="0" w:after="0"/>
      </w:pPr>
      <w:r>
        <w:t>Care Quality Commission (CQC) for quality and safet</w:t>
      </w:r>
      <w:r w:rsidR="00A9291F">
        <w:t>y</w:t>
      </w:r>
      <w:r>
        <w:t xml:space="preserve"> concerns abo</w:t>
      </w:r>
      <w:r w:rsidR="00A9291F">
        <w:t>u</w:t>
      </w:r>
      <w:r>
        <w:t>t the services it regulates – you can find out more about how the CQC handles concerns here</w:t>
      </w:r>
      <w:r w:rsidR="00EC2E35">
        <w:t xml:space="preserve"> </w:t>
      </w:r>
      <w:r w:rsidR="001456DB">
        <w:t xml:space="preserve"> </w:t>
      </w:r>
      <w:hyperlink r:id="rId19" w:history="1">
        <w:r w:rsidR="001456DB">
          <w:rPr>
            <w:rStyle w:val="Hyperlink"/>
          </w:rPr>
          <w:t>Report a concern if you are a member of staff - Care Quality Commission (cqc.org.uk)</w:t>
        </w:r>
      </w:hyperlink>
      <w:r w:rsidR="001456DB">
        <w:t>)</w:t>
      </w:r>
    </w:p>
    <w:p w14:paraId="52102513" w14:textId="77777777" w:rsidR="001456DB" w:rsidRDefault="001456DB" w:rsidP="00B13E4E">
      <w:pPr>
        <w:pStyle w:val="ListParagraph"/>
        <w:numPr>
          <w:ilvl w:val="0"/>
          <w:numId w:val="0"/>
        </w:numPr>
        <w:spacing w:before="0" w:after="0"/>
        <w:ind w:left="1854"/>
      </w:pPr>
    </w:p>
    <w:p w14:paraId="0ED97600" w14:textId="5F31F8E4" w:rsidR="001456DB" w:rsidRDefault="001456DB">
      <w:pPr>
        <w:pStyle w:val="ListParagraph"/>
        <w:numPr>
          <w:ilvl w:val="0"/>
          <w:numId w:val="20"/>
        </w:numPr>
        <w:spacing w:before="0" w:after="0"/>
      </w:pPr>
      <w:r>
        <w:t xml:space="preserve">NHS England ( </w:t>
      </w:r>
      <w:hyperlink r:id="rId20" w:history="1">
        <w:r>
          <w:rPr>
            <w:rStyle w:val="Hyperlink"/>
          </w:rPr>
          <w:t>NHS England » Speaking up to NHS England</w:t>
        </w:r>
      </w:hyperlink>
      <w:r>
        <w:t>) for concerns about:</w:t>
      </w:r>
    </w:p>
    <w:p w14:paraId="52029875" w14:textId="77777777" w:rsidR="001456DB" w:rsidRDefault="001456DB" w:rsidP="00B13E4E">
      <w:pPr>
        <w:pStyle w:val="ListParagraph"/>
        <w:numPr>
          <w:ilvl w:val="0"/>
          <w:numId w:val="0"/>
        </w:numPr>
        <w:ind w:left="1474"/>
      </w:pPr>
    </w:p>
    <w:p w14:paraId="0566C0E4" w14:textId="35C02467" w:rsidR="001456DB" w:rsidRDefault="001456DB">
      <w:pPr>
        <w:pStyle w:val="ListParagraph"/>
        <w:numPr>
          <w:ilvl w:val="0"/>
          <w:numId w:val="21"/>
        </w:numPr>
        <w:spacing w:before="0" w:after="0"/>
      </w:pPr>
      <w:r>
        <w:t>GP Surgeries</w:t>
      </w:r>
    </w:p>
    <w:p w14:paraId="3CB19284" w14:textId="518D21ED" w:rsidR="001456DB" w:rsidRDefault="001456DB">
      <w:pPr>
        <w:pStyle w:val="ListParagraph"/>
        <w:numPr>
          <w:ilvl w:val="0"/>
          <w:numId w:val="21"/>
        </w:numPr>
        <w:spacing w:before="0" w:after="0"/>
      </w:pPr>
      <w:r>
        <w:t>Dental practices</w:t>
      </w:r>
    </w:p>
    <w:p w14:paraId="2E5B5C23" w14:textId="4950B5DA" w:rsidR="001456DB" w:rsidRDefault="001456DB">
      <w:pPr>
        <w:pStyle w:val="ListParagraph"/>
        <w:numPr>
          <w:ilvl w:val="0"/>
          <w:numId w:val="21"/>
        </w:numPr>
        <w:spacing w:before="0" w:after="0"/>
      </w:pPr>
      <w:r>
        <w:t>Optometrists</w:t>
      </w:r>
    </w:p>
    <w:p w14:paraId="385D4DD4" w14:textId="3FE15B8E" w:rsidR="001456DB" w:rsidRDefault="001456DB">
      <w:pPr>
        <w:pStyle w:val="ListParagraph"/>
        <w:numPr>
          <w:ilvl w:val="0"/>
          <w:numId w:val="21"/>
        </w:numPr>
        <w:spacing w:before="0" w:after="0"/>
      </w:pPr>
      <w:r>
        <w:t xml:space="preserve">Pharmacies </w:t>
      </w:r>
    </w:p>
    <w:p w14:paraId="43822B8E" w14:textId="1AAEEE24" w:rsidR="001456DB" w:rsidRDefault="001456DB">
      <w:pPr>
        <w:pStyle w:val="ListParagraph"/>
        <w:numPr>
          <w:ilvl w:val="0"/>
          <w:numId w:val="21"/>
        </w:numPr>
        <w:spacing w:before="0" w:after="0"/>
      </w:pPr>
      <w:r>
        <w:lastRenderedPageBreak/>
        <w:t>How NHS trusts and foundation trusts are being run (this includes ambulance trusts and community and mental health trusts)</w:t>
      </w:r>
    </w:p>
    <w:p w14:paraId="43F2A448" w14:textId="09F2429B" w:rsidR="001456DB" w:rsidRDefault="001456DB">
      <w:pPr>
        <w:pStyle w:val="ListParagraph"/>
        <w:numPr>
          <w:ilvl w:val="0"/>
          <w:numId w:val="21"/>
        </w:numPr>
        <w:spacing w:before="0" w:after="0"/>
      </w:pPr>
      <w:r>
        <w:t xml:space="preserve">NHS procurement and patient choice </w:t>
      </w:r>
    </w:p>
    <w:p w14:paraId="2DF1EA09" w14:textId="3970FE79" w:rsidR="001456DB" w:rsidRPr="008B1BD3" w:rsidRDefault="001456DB">
      <w:pPr>
        <w:pStyle w:val="ListParagraph"/>
        <w:numPr>
          <w:ilvl w:val="0"/>
          <w:numId w:val="21"/>
        </w:numPr>
        <w:spacing w:before="0" w:after="0"/>
      </w:pPr>
      <w:r>
        <w:t>The national tari</w:t>
      </w:r>
      <w:r w:rsidRPr="00E662FC">
        <w:t>ff</w:t>
      </w:r>
    </w:p>
    <w:p w14:paraId="29806EB8" w14:textId="77777777" w:rsidR="000E7402" w:rsidRDefault="00856A53" w:rsidP="000E7402">
      <w:pPr>
        <w:pStyle w:val="Style7"/>
        <w:numPr>
          <w:ilvl w:val="0"/>
          <w:numId w:val="0"/>
        </w:numPr>
        <w:ind w:left="1134"/>
        <w:rPr>
          <w:rFonts w:ascii="Arial" w:eastAsia="Arial" w:hAnsi="Arial" w:cs="Arial"/>
          <w:spacing w:val="-2"/>
          <w:sz w:val="20"/>
          <w:szCs w:val="20"/>
        </w:rPr>
      </w:pPr>
      <w:r w:rsidRPr="00B13E4E">
        <w:t>NHS England may decide to investigate your concern themselves, ask your employer or another appropriate organisation to investigate (usually with their oversight) and/or use the information you provide to inform their oversight of the relevant organisation.  The precise action they take will depend on the nature of your concern and how it relates to their various roles</w:t>
      </w:r>
      <w:r>
        <w:rPr>
          <w:rFonts w:ascii="Arial" w:eastAsia="Arial" w:hAnsi="Arial" w:cs="Arial"/>
          <w:spacing w:val="-2"/>
          <w:sz w:val="20"/>
          <w:szCs w:val="20"/>
        </w:rPr>
        <w:t>.</w:t>
      </w:r>
    </w:p>
    <w:p w14:paraId="6D43BB23" w14:textId="77777777" w:rsidR="000E7402" w:rsidRDefault="00856A53" w:rsidP="000E7402">
      <w:pPr>
        <w:pStyle w:val="Style7"/>
        <w:numPr>
          <w:ilvl w:val="0"/>
          <w:numId w:val="0"/>
        </w:numPr>
        <w:ind w:left="1134"/>
        <w:rPr>
          <w:rFonts w:cs="Times New Roman (Body CS)"/>
        </w:rPr>
      </w:pPr>
      <w:r w:rsidRPr="00B13E4E">
        <w:rPr>
          <w:rFonts w:cs="Times New Roman (Body CS)"/>
        </w:rPr>
        <w:t>Please note that neither the Care Quality Commission nor NHS England can get involved in individual employment matters, such as a concern from an individual about feeling bullied.</w:t>
      </w:r>
    </w:p>
    <w:p w14:paraId="4B1555A9" w14:textId="5D3E7EC8" w:rsidR="00695605" w:rsidRDefault="00F20894" w:rsidP="000E7402">
      <w:pPr>
        <w:pStyle w:val="Style7"/>
        <w:numPr>
          <w:ilvl w:val="0"/>
          <w:numId w:val="0"/>
        </w:numPr>
        <w:ind w:left="1134"/>
      </w:pPr>
      <w:r w:rsidRPr="00B13E4E">
        <w:t>Local counter fraud team (where concerns relate to fraud) contact Eleni Gill, Lead Counter Fraud Manager Lcfs1538 West Midlands Ambulance Service NHS Trust Mobile: 07827 308906.</w:t>
      </w:r>
      <w:r w:rsidR="00990790">
        <w:t xml:space="preserve"> </w:t>
      </w:r>
      <w:r w:rsidRPr="00B13E4E">
        <w:t xml:space="preserve">Email: </w:t>
      </w:r>
      <w:hyperlink r:id="rId21" w:history="1">
        <w:r w:rsidRPr="00B13E4E">
          <w:t>eleni.gill@wmas.nhs.uk</w:t>
        </w:r>
      </w:hyperlink>
      <w:r w:rsidR="00695605">
        <w:t>.</w:t>
      </w:r>
    </w:p>
    <w:p w14:paraId="21F4B3E4" w14:textId="3CD6D1CA" w:rsidR="00F20894" w:rsidRDefault="00856A53" w:rsidP="000E7402">
      <w:pPr>
        <w:pStyle w:val="Style7"/>
        <w:numPr>
          <w:ilvl w:val="0"/>
          <w:numId w:val="0"/>
        </w:numPr>
        <w:ind w:left="1134"/>
        <w:rPr>
          <w:rFonts w:ascii="Arial" w:eastAsia="Arial" w:hAnsi="Arial" w:cs="Arial"/>
          <w:sz w:val="20"/>
          <w:szCs w:val="20"/>
        </w:rPr>
      </w:pPr>
      <w:r w:rsidRPr="00B13E4E">
        <w:t>If you would like to speak up about the conduct of a member of staff, you can do this by contacting the relevant professional body such as the General Medical Council, Nursing and Midwifery Council, Health &amp; Care Professions Council, General Dental Council, General Optical Council or General Pharmaceutical Council.</w:t>
      </w:r>
    </w:p>
    <w:p w14:paraId="091F316A" w14:textId="60966D68" w:rsidR="003716AE" w:rsidRPr="00A761AE" w:rsidRDefault="003716AE" w:rsidP="00A761AE">
      <w:pPr>
        <w:pStyle w:val="Heading3"/>
        <w:rPr>
          <w:b/>
          <w:bCs/>
        </w:rPr>
      </w:pPr>
      <w:bookmarkStart w:id="42" w:name="_Toc152597548"/>
      <w:r w:rsidRPr="00A761AE">
        <w:rPr>
          <w:b/>
          <w:bCs/>
        </w:rPr>
        <w:t>Advice and support</w:t>
      </w:r>
      <w:bookmarkEnd w:id="42"/>
    </w:p>
    <w:p w14:paraId="15C04F03" w14:textId="633A9280" w:rsidR="00124710" w:rsidRDefault="00124710" w:rsidP="00124710">
      <w:pPr>
        <w:pStyle w:val="Style2"/>
      </w:pPr>
      <w:r w:rsidRPr="00124710">
        <w:t>Details o</w:t>
      </w:r>
      <w:r w:rsidR="004E4D8C">
        <w:t>f</w:t>
      </w:r>
      <w:r w:rsidRPr="00124710">
        <w:t xml:space="preserve"> the local support available to you can be found </w:t>
      </w:r>
      <w:r w:rsidR="00971FA0">
        <w:t xml:space="preserve">on </w:t>
      </w:r>
      <w:r w:rsidR="004E4D8C">
        <w:t>the</w:t>
      </w:r>
      <w:r w:rsidR="00971FA0">
        <w:t xml:space="preserve"> </w:t>
      </w:r>
      <w:hyperlink r:id="rId22" w:history="1">
        <w:r w:rsidR="004B6E32" w:rsidRPr="004B6E32">
          <w:rPr>
            <w:rStyle w:val="Hyperlink"/>
          </w:rPr>
          <w:t>Speaking Up</w:t>
        </w:r>
      </w:hyperlink>
      <w:r w:rsidR="004B6E32">
        <w:t xml:space="preserve"> p</w:t>
      </w:r>
      <w:r w:rsidR="00773A7F">
        <w:t xml:space="preserve">age </w:t>
      </w:r>
      <w:r w:rsidR="004E4D8C">
        <w:t>on the ICB intranet</w:t>
      </w:r>
      <w:r w:rsidR="00971FA0">
        <w:t xml:space="preserve">. </w:t>
      </w:r>
      <w:hyperlink r:id="rId23" w:history="1">
        <w:r w:rsidR="006149D1" w:rsidRPr="004B6E32">
          <w:rPr>
            <w:rStyle w:val="Hyperlink"/>
          </w:rPr>
          <w:t>Your local staff networks</w:t>
        </w:r>
      </w:hyperlink>
      <w:r w:rsidR="006149D1" w:rsidRPr="00B13E4E">
        <w:t xml:space="preserve"> can be a valuable source of support</w:t>
      </w:r>
      <w:r w:rsidR="0012665D">
        <w:t>,</w:t>
      </w:r>
      <w:r w:rsidR="00971FA0">
        <w:t xml:space="preserve"> </w:t>
      </w:r>
      <w:r w:rsidR="0012665D">
        <w:t>h</w:t>
      </w:r>
      <w:r w:rsidRPr="00124710">
        <w:t>owever</w:t>
      </w:r>
      <w:r w:rsidR="0012665D">
        <w:t xml:space="preserve"> </w:t>
      </w:r>
      <w:r w:rsidRPr="00124710">
        <w:t xml:space="preserve">you can also contact </w:t>
      </w:r>
      <w:hyperlink r:id="rId24" w:history="1">
        <w:r w:rsidR="00693972" w:rsidRPr="00B13E4E">
          <w:t>Speak Up</w:t>
        </w:r>
      </w:hyperlink>
      <w:r w:rsidR="00693972">
        <w:t xml:space="preserve"> </w:t>
      </w:r>
      <w:r w:rsidR="00F82C96">
        <w:t xml:space="preserve">for </w:t>
      </w:r>
      <w:r w:rsidR="00693972" w:rsidRPr="00693972">
        <w:t xml:space="preserve">signposting, </w:t>
      </w:r>
      <w:proofErr w:type="gramStart"/>
      <w:r w:rsidR="00693972" w:rsidRPr="00693972">
        <w:t>advice</w:t>
      </w:r>
      <w:proofErr w:type="gramEnd"/>
      <w:r w:rsidR="00693972" w:rsidRPr="00693972">
        <w:t xml:space="preserve"> and guidance</w:t>
      </w:r>
      <w:r w:rsidR="00693972">
        <w:t xml:space="preserve"> on raising a concern,</w:t>
      </w:r>
      <w:r w:rsidRPr="00124710">
        <w:t xml:space="preserve"> your professional body or trade union representative.</w:t>
      </w:r>
    </w:p>
    <w:p w14:paraId="4C18A938" w14:textId="77777777" w:rsidR="006149D1" w:rsidRPr="00B13E4E" w:rsidRDefault="006149D1" w:rsidP="006149D1">
      <w:pPr>
        <w:spacing w:after="0" w:line="292" w:lineRule="auto"/>
        <w:ind w:right="138"/>
      </w:pPr>
      <w:r w:rsidRPr="00B13E4E">
        <w:t>You can access a range of health and wellbeing support via NHS England:</w:t>
      </w:r>
    </w:p>
    <w:p w14:paraId="52BEEDF0" w14:textId="256D421E" w:rsidR="00E662FC" w:rsidRDefault="008320CF">
      <w:pPr>
        <w:pStyle w:val="ListParagraph"/>
        <w:numPr>
          <w:ilvl w:val="0"/>
          <w:numId w:val="25"/>
        </w:numPr>
        <w:spacing w:after="0"/>
        <w:ind w:right="-20"/>
      </w:pPr>
      <w:hyperlink r:id="rId25" w:history="1">
        <w:r w:rsidR="00387089" w:rsidRPr="00387089">
          <w:rPr>
            <w:rStyle w:val="Hyperlink"/>
          </w:rPr>
          <w:t>Support available for our NHS people</w:t>
        </w:r>
      </w:hyperlink>
      <w:r w:rsidR="00387089">
        <w:t xml:space="preserve"> </w:t>
      </w:r>
    </w:p>
    <w:p w14:paraId="50A0A6B7" w14:textId="77777777" w:rsidR="00E662FC" w:rsidRDefault="008320CF">
      <w:pPr>
        <w:pStyle w:val="ListParagraph"/>
        <w:numPr>
          <w:ilvl w:val="0"/>
          <w:numId w:val="25"/>
        </w:numPr>
        <w:spacing w:after="0"/>
        <w:ind w:right="-20"/>
      </w:pPr>
      <w:hyperlink r:id="rId26">
        <w:r w:rsidR="006149D1" w:rsidRPr="00B13E4E">
          <w:t xml:space="preserve">Looking after you: confidential coaching and support for the primary </w:t>
        </w:r>
      </w:hyperlink>
      <w:hyperlink r:id="rId27">
        <w:r w:rsidR="006149D1" w:rsidRPr="00B13E4E">
          <w:t>care workforce.</w:t>
        </w:r>
      </w:hyperlink>
    </w:p>
    <w:p w14:paraId="763E89A6" w14:textId="431325DF" w:rsidR="006149D1" w:rsidRPr="00E662FC" w:rsidRDefault="006149D1">
      <w:pPr>
        <w:pStyle w:val="ListParagraph"/>
        <w:numPr>
          <w:ilvl w:val="0"/>
          <w:numId w:val="25"/>
        </w:numPr>
        <w:spacing w:after="0"/>
        <w:ind w:right="-20"/>
      </w:pPr>
      <w:r w:rsidRPr="00E662FC">
        <w:t xml:space="preserve">NHS England has a </w:t>
      </w:r>
      <w:hyperlink r:id="rId28">
        <w:r w:rsidRPr="00E662FC">
          <w:t xml:space="preserve">Speak Up Support Scheme </w:t>
        </w:r>
      </w:hyperlink>
      <w:r w:rsidRPr="00E662FC">
        <w:t>that you can apply to for support. You can also contact the following organisations:</w:t>
      </w:r>
    </w:p>
    <w:p w14:paraId="7F4AE135" w14:textId="77777777" w:rsidR="00E662FC" w:rsidRDefault="006149D1">
      <w:pPr>
        <w:pStyle w:val="ListParagraph"/>
        <w:numPr>
          <w:ilvl w:val="0"/>
          <w:numId w:val="21"/>
        </w:numPr>
      </w:pPr>
      <w:r w:rsidRPr="00E662FC">
        <w:t xml:space="preserve">The charity </w:t>
      </w:r>
      <w:hyperlink r:id="rId29">
        <w:r w:rsidRPr="00E662FC">
          <w:t xml:space="preserve">Protect </w:t>
        </w:r>
      </w:hyperlink>
      <w:r w:rsidRPr="00E662FC">
        <w:t>provides confidential and legal advice on</w:t>
      </w:r>
      <w:r w:rsidR="00E662FC">
        <w:t xml:space="preserve"> </w:t>
      </w:r>
      <w:r w:rsidRPr="00E662FC">
        <w:t>speaking up.</w:t>
      </w:r>
    </w:p>
    <w:p w14:paraId="43C8DAE0" w14:textId="77777777" w:rsidR="00E662FC" w:rsidRDefault="006149D1">
      <w:pPr>
        <w:pStyle w:val="ListParagraph"/>
        <w:numPr>
          <w:ilvl w:val="0"/>
          <w:numId w:val="21"/>
        </w:numPr>
      </w:pPr>
      <w:r w:rsidRPr="00B13E4E">
        <w:t xml:space="preserve">The </w:t>
      </w:r>
      <w:hyperlink r:id="rId30">
        <w:r w:rsidRPr="00B13E4E">
          <w:t xml:space="preserve">Trades Union Congress </w:t>
        </w:r>
      </w:hyperlink>
      <w:r w:rsidRPr="00B13E4E">
        <w:t>provides information on how to join a trade union.</w:t>
      </w:r>
    </w:p>
    <w:p w14:paraId="54D2DA60" w14:textId="77777777" w:rsidR="00E662FC" w:rsidRDefault="008320CF">
      <w:pPr>
        <w:pStyle w:val="ListParagraph"/>
        <w:numPr>
          <w:ilvl w:val="0"/>
          <w:numId w:val="21"/>
        </w:numPr>
      </w:pPr>
      <w:hyperlink r:id="rId31">
        <w:r w:rsidR="006149D1" w:rsidRPr="00B13E4E">
          <w:t xml:space="preserve">The Law Society </w:t>
        </w:r>
      </w:hyperlink>
      <w:r w:rsidR="006149D1" w:rsidRPr="00B13E4E">
        <w:t>may be able to point you to other sources of advice and support.</w:t>
      </w:r>
    </w:p>
    <w:p w14:paraId="4A7416F2" w14:textId="13D76F2E" w:rsidR="006149D1" w:rsidRDefault="008320CF">
      <w:pPr>
        <w:pStyle w:val="ListParagraph"/>
        <w:numPr>
          <w:ilvl w:val="0"/>
          <w:numId w:val="21"/>
        </w:numPr>
      </w:pPr>
      <w:hyperlink r:id="rId32">
        <w:r w:rsidR="006149D1" w:rsidRPr="00B13E4E">
          <w:t xml:space="preserve">The Advisory, Conciliation and Arbitration Service </w:t>
        </w:r>
      </w:hyperlink>
      <w:r w:rsidR="006149D1" w:rsidRPr="00B13E4E">
        <w:t>gives advice and assistance, including on early conciliation regarding employment disputes</w:t>
      </w:r>
      <w:r w:rsidR="006618C6">
        <w:t>.</w:t>
      </w:r>
    </w:p>
    <w:p w14:paraId="00AB170A" w14:textId="77777777" w:rsidR="00ED7A74" w:rsidRDefault="00ED7A74" w:rsidP="00ED7A74">
      <w:pPr>
        <w:pStyle w:val="ListParagraph"/>
        <w:numPr>
          <w:ilvl w:val="0"/>
          <w:numId w:val="0"/>
        </w:numPr>
        <w:ind w:left="2214"/>
      </w:pPr>
    </w:p>
    <w:p w14:paraId="05F02180" w14:textId="2923AE7C" w:rsidR="003716AE" w:rsidRPr="00A761AE" w:rsidRDefault="003716AE" w:rsidP="00A761AE">
      <w:pPr>
        <w:pStyle w:val="Heading3"/>
        <w:rPr>
          <w:b/>
          <w:bCs/>
        </w:rPr>
      </w:pPr>
      <w:bookmarkStart w:id="43" w:name="_Toc152597549"/>
      <w:r w:rsidRPr="00A761AE">
        <w:rPr>
          <w:b/>
          <w:bCs/>
        </w:rPr>
        <w:lastRenderedPageBreak/>
        <w:t>How should I raise my concern?</w:t>
      </w:r>
      <w:bookmarkEnd w:id="43"/>
    </w:p>
    <w:p w14:paraId="35421A9C" w14:textId="215ECB45" w:rsidR="00693972" w:rsidRDefault="00693972" w:rsidP="00693972">
      <w:pPr>
        <w:pStyle w:val="Style2"/>
      </w:pPr>
      <w:r>
        <w:t>You can raise your concerns with any of the people listed above in person, by phone or in writing (including email).</w:t>
      </w:r>
    </w:p>
    <w:p w14:paraId="31528A4B" w14:textId="48A46CDD" w:rsidR="00DB4FC6" w:rsidRPr="00A761AE" w:rsidRDefault="00693972" w:rsidP="008826D3">
      <w:pPr>
        <w:pStyle w:val="Style2"/>
      </w:pPr>
      <w:r w:rsidRPr="00A761AE">
        <w:t>Whichever route you choose, please be ready to explain as fully as you can the information and circumstances that gave rise to your concern.</w:t>
      </w:r>
    </w:p>
    <w:p w14:paraId="205F25F9" w14:textId="7C003EC9" w:rsidR="006149D1" w:rsidRDefault="003716AE" w:rsidP="006149D1">
      <w:pPr>
        <w:pStyle w:val="Heading3"/>
        <w:rPr>
          <w:b/>
          <w:bCs/>
        </w:rPr>
      </w:pPr>
      <w:bookmarkStart w:id="44" w:name="_Toc152597550"/>
      <w:r w:rsidRPr="00A761AE">
        <w:rPr>
          <w:b/>
          <w:bCs/>
        </w:rPr>
        <w:t>What will we do?</w:t>
      </w:r>
      <w:bookmarkEnd w:id="44"/>
    </w:p>
    <w:p w14:paraId="7581AEDB" w14:textId="77777777" w:rsidR="008826D3" w:rsidRDefault="006149D1" w:rsidP="008826D3">
      <w:pPr>
        <w:pStyle w:val="Heading3"/>
        <w:numPr>
          <w:ilvl w:val="0"/>
          <w:numId w:val="0"/>
        </w:numPr>
        <w:ind w:left="1134"/>
      </w:pPr>
      <w:r w:rsidRPr="00B13E4E">
        <w:t>The matter you are speaking up about may be best considered under a specific existing policy/process; for example, our process for dealing with bullying and harassment. If so, we will discuss that with you. If you speak up about something that does not fall into an HR or patient safety incident process, this policy ensures that the matter is still addressed.</w:t>
      </w:r>
    </w:p>
    <w:p w14:paraId="4956E7EA" w14:textId="69F76CD5" w:rsidR="00537398" w:rsidRDefault="006149D1" w:rsidP="008826D3">
      <w:pPr>
        <w:pStyle w:val="Heading3"/>
        <w:numPr>
          <w:ilvl w:val="0"/>
          <w:numId w:val="0"/>
        </w:numPr>
        <w:ind w:left="1134"/>
      </w:pPr>
      <w:r w:rsidRPr="00B13E4E">
        <w:t xml:space="preserve">What you can expect to happen after speaking up is shown in </w:t>
      </w:r>
      <w:r w:rsidRPr="00ED7A74">
        <w:rPr>
          <w:b/>
          <w:bCs/>
        </w:rPr>
        <w:t xml:space="preserve">Appendix </w:t>
      </w:r>
      <w:r w:rsidR="0094087C" w:rsidRPr="00ED7A74">
        <w:rPr>
          <w:b/>
          <w:bCs/>
        </w:rPr>
        <w:t>B</w:t>
      </w:r>
      <w:r w:rsidR="00ED7A74">
        <w:rPr>
          <w:b/>
          <w:bCs/>
        </w:rPr>
        <w:t>.</w:t>
      </w:r>
    </w:p>
    <w:p w14:paraId="77C6F455" w14:textId="789A92D2" w:rsidR="006149D1" w:rsidRPr="00B13E4E" w:rsidRDefault="00D441B5" w:rsidP="008826D3">
      <w:pPr>
        <w:pStyle w:val="Heading3"/>
        <w:numPr>
          <w:ilvl w:val="0"/>
          <w:numId w:val="0"/>
        </w:numPr>
        <w:ind w:left="1134"/>
        <w:rPr>
          <w:b/>
          <w:bCs/>
        </w:rPr>
      </w:pPr>
      <w:r>
        <w:rPr>
          <w:b/>
          <w:bCs/>
        </w:rPr>
        <w:t>Re</w:t>
      </w:r>
      <w:r w:rsidR="006149D1" w:rsidRPr="00B13E4E">
        <w:rPr>
          <w:b/>
          <w:bCs/>
        </w:rPr>
        <w:t>solution and investigation</w:t>
      </w:r>
    </w:p>
    <w:p w14:paraId="3F528E7B" w14:textId="77777777" w:rsidR="006149D1" w:rsidRPr="00B13E4E" w:rsidRDefault="006149D1" w:rsidP="008826D3">
      <w:pPr>
        <w:pStyle w:val="Heading3"/>
        <w:numPr>
          <w:ilvl w:val="0"/>
          <w:numId w:val="0"/>
        </w:numPr>
        <w:ind w:left="1134"/>
      </w:pPr>
      <w:r w:rsidRPr="00B13E4E">
        <w:t>We support our managers/supervisors to listen to the issue you raise and take action to resolve it wherever possible. In most cases, it’s important that this opportunity is fully explored, which may be with facilitated conversations and/or mediation.</w:t>
      </w:r>
    </w:p>
    <w:p w14:paraId="37B8A223" w14:textId="77777777" w:rsidR="006149D1" w:rsidRPr="00B13E4E" w:rsidRDefault="006149D1" w:rsidP="008826D3">
      <w:pPr>
        <w:pStyle w:val="Heading3"/>
        <w:numPr>
          <w:ilvl w:val="0"/>
          <w:numId w:val="0"/>
        </w:numPr>
        <w:ind w:left="1134"/>
      </w:pPr>
      <w:r w:rsidRPr="00B13E4E">
        <w:t>Where an investigation is needed, this will be objective and conducted by someone who is suitably independent (this might be someone outside your organisation or from a different part of the organisation) and trained in investigations. It will reach a conclusion within a reasonable timescale (which we will notify you of), and a report will be produced that identifies any issues to prevent problems recurring.</w:t>
      </w:r>
    </w:p>
    <w:p w14:paraId="0AF9043D" w14:textId="28C0F526" w:rsidR="006149D1" w:rsidRPr="00B13E4E" w:rsidRDefault="006149D1" w:rsidP="008826D3">
      <w:pPr>
        <w:pStyle w:val="Heading3"/>
        <w:numPr>
          <w:ilvl w:val="0"/>
          <w:numId w:val="0"/>
        </w:numPr>
        <w:ind w:left="1134"/>
      </w:pPr>
      <w:r w:rsidRPr="00B13E4E">
        <w:t>Any employment issues that have implications for you/your capability or conduct identified during the investigation will be considered separately.</w:t>
      </w:r>
    </w:p>
    <w:p w14:paraId="01A89D0E" w14:textId="77777777" w:rsidR="006149D1" w:rsidRPr="00B13E4E" w:rsidRDefault="006149D1" w:rsidP="008826D3">
      <w:pPr>
        <w:pStyle w:val="Heading3"/>
        <w:numPr>
          <w:ilvl w:val="0"/>
          <w:numId w:val="0"/>
        </w:numPr>
        <w:ind w:left="1134"/>
        <w:rPr>
          <w:b/>
          <w:bCs/>
        </w:rPr>
      </w:pPr>
      <w:r w:rsidRPr="00B13E4E">
        <w:rPr>
          <w:b/>
          <w:bCs/>
        </w:rPr>
        <w:t>Communicating with you</w:t>
      </w:r>
    </w:p>
    <w:p w14:paraId="0BDDA098" w14:textId="076F1B7A" w:rsidR="006149D1" w:rsidRPr="00B13E4E" w:rsidRDefault="006149D1" w:rsidP="008826D3">
      <w:pPr>
        <w:pStyle w:val="Heading3"/>
        <w:numPr>
          <w:ilvl w:val="0"/>
          <w:numId w:val="0"/>
        </w:numPr>
        <w:ind w:left="1134"/>
      </w:pPr>
      <w:r w:rsidRPr="00B13E4E">
        <w:t>We will treat you with respect at all times and will thank you for speaking up. We will discuss the issues with you to ensure we understand exactly what you are worried about. If we decide to investigate, we will tell you how long we expect the investigation to take and agree with you how to keep you up to date with its progress. Wherever possible, we will share the full investigation report with you</w:t>
      </w:r>
      <w:r w:rsidR="00990790">
        <w:t>.</w:t>
      </w:r>
    </w:p>
    <w:p w14:paraId="15B49ADE" w14:textId="1A7B4E14" w:rsidR="006149D1" w:rsidRPr="00B13E4E" w:rsidRDefault="006149D1" w:rsidP="008826D3">
      <w:pPr>
        <w:pStyle w:val="Heading3"/>
        <w:numPr>
          <w:ilvl w:val="0"/>
          <w:numId w:val="0"/>
        </w:numPr>
        <w:ind w:left="1134"/>
      </w:pPr>
      <w:r w:rsidRPr="00B13E4E">
        <w:t>(</w:t>
      </w:r>
      <w:r w:rsidR="00990790" w:rsidRPr="00B13E4E">
        <w:t>While</w:t>
      </w:r>
      <w:r w:rsidRPr="00B13E4E">
        <w:t xml:space="preserve"> respecting the confidentiality of others and recognising that some matters may be strictly confidential; as such it may be that we cannot share the outcome</w:t>
      </w:r>
      <w:r w:rsidR="00E875E7">
        <w:t xml:space="preserve"> </w:t>
      </w:r>
      <w:r w:rsidRPr="00B13E4E">
        <w:t>with you).</w:t>
      </w:r>
    </w:p>
    <w:p w14:paraId="4CA5FC2E" w14:textId="77777777" w:rsidR="006149D1" w:rsidRPr="00B13E4E" w:rsidRDefault="006149D1" w:rsidP="008826D3">
      <w:pPr>
        <w:pStyle w:val="Heading3"/>
        <w:numPr>
          <w:ilvl w:val="0"/>
          <w:numId w:val="0"/>
        </w:numPr>
        <w:ind w:left="1134"/>
        <w:rPr>
          <w:b/>
          <w:bCs/>
        </w:rPr>
      </w:pPr>
      <w:r w:rsidRPr="00B13E4E">
        <w:rPr>
          <w:b/>
          <w:bCs/>
        </w:rPr>
        <w:t>How we learn from your speaking up</w:t>
      </w:r>
    </w:p>
    <w:p w14:paraId="078B4F18" w14:textId="4FE31AAA" w:rsidR="006149D1" w:rsidRPr="00B13E4E" w:rsidRDefault="006149D1" w:rsidP="008826D3">
      <w:pPr>
        <w:pStyle w:val="Heading3"/>
        <w:numPr>
          <w:ilvl w:val="0"/>
          <w:numId w:val="0"/>
        </w:numPr>
        <w:ind w:left="1134"/>
      </w:pPr>
      <w:r w:rsidRPr="00B13E4E">
        <w:t xml:space="preserve">We want speaking up to improve the services we provide for patients and the environment our staff work in. Where it identifies improvements that can be made, we will ensure necessary changes are made, and are working </w:t>
      </w:r>
      <w:r w:rsidRPr="00B13E4E">
        <w:lastRenderedPageBreak/>
        <w:t>effectively. Lessons will be shared with teams across the organisation, or more widely, as appropriate.</w:t>
      </w:r>
    </w:p>
    <w:p w14:paraId="14EA3116" w14:textId="77777777" w:rsidR="006149D1" w:rsidRPr="00B13E4E" w:rsidRDefault="006149D1" w:rsidP="008826D3">
      <w:pPr>
        <w:pStyle w:val="Heading3"/>
        <w:numPr>
          <w:ilvl w:val="0"/>
          <w:numId w:val="0"/>
        </w:numPr>
        <w:ind w:left="1134"/>
        <w:rPr>
          <w:b/>
          <w:bCs/>
        </w:rPr>
      </w:pPr>
      <w:r w:rsidRPr="00B13E4E">
        <w:rPr>
          <w:b/>
          <w:bCs/>
        </w:rPr>
        <w:t>Review</w:t>
      </w:r>
    </w:p>
    <w:p w14:paraId="308E0C80" w14:textId="77777777" w:rsidR="006149D1" w:rsidRPr="00B13E4E" w:rsidRDefault="006149D1" w:rsidP="008826D3">
      <w:pPr>
        <w:pStyle w:val="Heading3"/>
        <w:numPr>
          <w:ilvl w:val="0"/>
          <w:numId w:val="0"/>
        </w:numPr>
        <w:ind w:left="1134"/>
      </w:pPr>
      <w:r w:rsidRPr="00B13E4E">
        <w:t>We will seek feedback from workers about their experience of speaking up. We will review the effectiveness of this policy and our local process annually, with the outcome published and changes made as appropriate.</w:t>
      </w:r>
    </w:p>
    <w:p w14:paraId="26DADED2" w14:textId="77777777" w:rsidR="00E875E7" w:rsidRDefault="00E875E7" w:rsidP="008826D3">
      <w:pPr>
        <w:pStyle w:val="Heading3"/>
        <w:numPr>
          <w:ilvl w:val="0"/>
          <w:numId w:val="0"/>
        </w:numPr>
        <w:ind w:left="1134"/>
        <w:rPr>
          <w:b/>
          <w:bCs/>
        </w:rPr>
      </w:pPr>
      <w:r w:rsidRPr="00B13E4E">
        <w:rPr>
          <w:b/>
          <w:bCs/>
        </w:rPr>
        <w:t>S</w:t>
      </w:r>
      <w:r w:rsidR="006149D1" w:rsidRPr="00B13E4E">
        <w:rPr>
          <w:b/>
          <w:bCs/>
        </w:rPr>
        <w:t>enior leaders’ oversight</w:t>
      </w:r>
    </w:p>
    <w:p w14:paraId="5AD793AB" w14:textId="5682BA0F" w:rsidR="00D16D88" w:rsidRDefault="006149D1" w:rsidP="008826D3">
      <w:pPr>
        <w:pStyle w:val="Heading3"/>
        <w:numPr>
          <w:ilvl w:val="0"/>
          <w:numId w:val="0"/>
        </w:numPr>
        <w:ind w:left="1134"/>
      </w:pPr>
      <w:r w:rsidRPr="00B13E4E">
        <w:t>Our most senior leaders will receive a report at least annually providing a thematic overview of speaking up by our staff to our FTSU guardian(s).</w:t>
      </w:r>
      <w:bookmarkStart w:id="45" w:name="_Hlk91839612"/>
    </w:p>
    <w:p w14:paraId="57F7BB2B" w14:textId="2F04E26C" w:rsidR="003716AE" w:rsidRPr="00A761AE" w:rsidRDefault="003716AE" w:rsidP="00A761AE">
      <w:pPr>
        <w:pStyle w:val="Heading3"/>
        <w:rPr>
          <w:b/>
          <w:bCs/>
        </w:rPr>
      </w:pPr>
      <w:bookmarkStart w:id="46" w:name="_Toc152597551"/>
      <w:bookmarkEnd w:id="45"/>
      <w:r w:rsidRPr="00A761AE">
        <w:rPr>
          <w:b/>
          <w:bCs/>
        </w:rPr>
        <w:t>Making a protected disclosure</w:t>
      </w:r>
      <w:bookmarkEnd w:id="46"/>
    </w:p>
    <w:p w14:paraId="5764A00E" w14:textId="0CDD9099" w:rsidR="00EE3CD1" w:rsidRDefault="00EE3CD1" w:rsidP="00EE3CD1">
      <w:pPr>
        <w:pStyle w:val="Style2"/>
      </w:pPr>
      <w:r>
        <w:t xml:space="preserve">There are very specific criteria that need to be met for an individual to be covered by whistleblowing law when they raise a concern (to be able to claim the protection that accompanies it). There is also a defined list of ‘prescribed persons’, similar to the list of outside bodies on page </w:t>
      </w:r>
      <w:r w:rsidR="006618C6">
        <w:rPr>
          <w:color w:val="auto"/>
        </w:rPr>
        <w:t>20</w:t>
      </w:r>
      <w:r>
        <w:t xml:space="preserve">, who you can make a protected disclosure to.  To help you consider whether you might meet these criteria, please seek independent advice from </w:t>
      </w:r>
      <w:hyperlink r:id="rId33" w:history="1">
        <w:r>
          <w:rPr>
            <w:rStyle w:val="Hyperlink"/>
          </w:rPr>
          <w:t>Speak Up</w:t>
        </w:r>
      </w:hyperlink>
      <w:r>
        <w:t xml:space="preserve">, </w:t>
      </w:r>
      <w:hyperlink r:id="rId34" w:history="1">
        <w:r w:rsidR="00AC4211">
          <w:rPr>
            <w:rStyle w:val="Hyperlink"/>
          </w:rPr>
          <w:t>Protect</w:t>
        </w:r>
      </w:hyperlink>
      <w:r w:rsidR="00AC4211">
        <w:t xml:space="preserve"> (previously Public Concern at Work), </w:t>
      </w:r>
      <w:r>
        <w:t>or a legal representative.</w:t>
      </w:r>
    </w:p>
    <w:p w14:paraId="696F0A6B" w14:textId="1BAE8A83" w:rsidR="003716AE" w:rsidRPr="00A761AE" w:rsidRDefault="003716AE" w:rsidP="00A761AE">
      <w:pPr>
        <w:pStyle w:val="Heading3"/>
        <w:rPr>
          <w:b/>
          <w:bCs/>
        </w:rPr>
      </w:pPr>
      <w:bookmarkStart w:id="47" w:name="_Toc152597552"/>
      <w:r w:rsidRPr="00A761AE">
        <w:rPr>
          <w:b/>
          <w:bCs/>
        </w:rPr>
        <w:t>National Guardian’s Office</w:t>
      </w:r>
      <w:bookmarkEnd w:id="47"/>
    </w:p>
    <w:p w14:paraId="06E2D9BF" w14:textId="77777777" w:rsidR="00FA4F8B" w:rsidRDefault="008320CF" w:rsidP="009B38D4">
      <w:pPr>
        <w:pStyle w:val="Style2"/>
      </w:pPr>
      <w:hyperlink r:id="rId35" w:history="1">
        <w:r w:rsidR="00AC4211">
          <w:rPr>
            <w:rStyle w:val="Hyperlink"/>
          </w:rPr>
          <w:t>The National Guardian's Office</w:t>
        </w:r>
      </w:hyperlink>
      <w:r w:rsidR="00AC4211">
        <w:t xml:space="preserve"> </w:t>
      </w:r>
      <w:bookmarkStart w:id="48" w:name="_Toc84611059"/>
      <w:bookmarkStart w:id="49" w:name="_Toc89326549"/>
      <w:r w:rsidR="00FA4F8B">
        <w:t xml:space="preserve">is an independent, non-statutory body with the remit to lead culture change in the NHS so that speaking up becomes business as usual. The office is not a regulator, but is sponsored by the CQC, </w:t>
      </w:r>
      <w:r w:rsidR="00FA4F8B" w:rsidRPr="0094087C">
        <w:t>NHS England and NHS Improvement</w:t>
      </w:r>
      <w:r w:rsidR="00FA4F8B">
        <w:t>. The National Guardian’s office provides challenge, learning and support to the healthcare system as a whole by reviewing organisation’s speaking up culture and the handling of concerns where they have not followed good practice.</w:t>
      </w:r>
    </w:p>
    <w:p w14:paraId="38D6A5E2" w14:textId="721ABD73" w:rsidR="00F913CD" w:rsidRPr="00D7524B" w:rsidRDefault="00F913CD" w:rsidP="00D7524B">
      <w:pPr>
        <w:pStyle w:val="Heading2"/>
      </w:pPr>
      <w:bookmarkStart w:id="50" w:name="_Toc152597553"/>
      <w:r w:rsidRPr="00D7524B">
        <w:t>Monitoring Compliance</w:t>
      </w:r>
      <w:bookmarkEnd w:id="48"/>
      <w:bookmarkEnd w:id="49"/>
      <w:bookmarkEnd w:id="50"/>
    </w:p>
    <w:p w14:paraId="4A9E2F2C" w14:textId="48ACAC0A" w:rsidR="00991344" w:rsidRDefault="00B901CD" w:rsidP="00B901CD">
      <w:pPr>
        <w:ind w:hanging="1134"/>
      </w:pPr>
      <w:r>
        <w:t>7.1</w:t>
      </w:r>
      <w:r>
        <w:tab/>
      </w:r>
      <w:r w:rsidR="00991344" w:rsidRPr="00991344">
        <w:t xml:space="preserve">Staff will be informed of this policy through team meetings and the policy will be available to all staff on the </w:t>
      </w:r>
      <w:r w:rsidR="00991344">
        <w:t>ICB</w:t>
      </w:r>
      <w:r w:rsidR="00991344" w:rsidRPr="00991344">
        <w:t xml:space="preserve"> intranet or by request to the </w:t>
      </w:r>
      <w:r w:rsidR="00991344">
        <w:t>Governance Lead.</w:t>
      </w:r>
      <w:r w:rsidR="006618C6">
        <w:t xml:space="preserve"> </w:t>
      </w:r>
      <w:r w:rsidR="00991344" w:rsidRPr="00991344">
        <w:t xml:space="preserve">This policy will be monitored and reviewed regularly by the </w:t>
      </w:r>
      <w:r w:rsidR="00D7524B">
        <w:t>Chief People Officer</w:t>
      </w:r>
      <w:r w:rsidR="00846A1E">
        <w:t>.</w:t>
      </w:r>
      <w:r w:rsidR="00991344" w:rsidRPr="00991344">
        <w:t xml:space="preserve"> </w:t>
      </w:r>
    </w:p>
    <w:p w14:paraId="3FE6B6BF" w14:textId="23C89499" w:rsidR="00CA294E" w:rsidRPr="00CA294E" w:rsidRDefault="00B901CD" w:rsidP="00B901CD">
      <w:pPr>
        <w:ind w:hanging="1134"/>
      </w:pPr>
      <w:r>
        <w:t>7.2</w:t>
      </w:r>
      <w:r>
        <w:tab/>
      </w:r>
      <w:r w:rsidR="00CA294E">
        <w:t>The Freedom to Speak Up Guardian will also meet with the Executive Lead throughout the year to provide feedback on concerns being raised and trends to ensure these continue to be monitored and under review.</w:t>
      </w:r>
    </w:p>
    <w:p w14:paraId="03671137" w14:textId="77777777" w:rsidR="00F913CD" w:rsidRPr="0015255F" w:rsidRDefault="00F913CD" w:rsidP="00D7524B">
      <w:pPr>
        <w:pStyle w:val="Heading2"/>
      </w:pPr>
      <w:bookmarkStart w:id="51" w:name="_Toc84611060"/>
      <w:bookmarkStart w:id="52" w:name="_Toc89326550"/>
      <w:bookmarkStart w:id="53" w:name="_Toc152597554"/>
      <w:r w:rsidRPr="0015255F">
        <w:t xml:space="preserve">Staff </w:t>
      </w:r>
      <w:r w:rsidRPr="006B3E9C">
        <w:t>Training</w:t>
      </w:r>
      <w:bookmarkEnd w:id="51"/>
      <w:bookmarkEnd w:id="52"/>
      <w:bookmarkEnd w:id="53"/>
    </w:p>
    <w:p w14:paraId="09B107C9" w14:textId="5CFF8137" w:rsidR="00E34376" w:rsidRDefault="00B901CD" w:rsidP="00B901CD">
      <w:pPr>
        <w:ind w:hanging="1134"/>
      </w:pPr>
      <w:bookmarkStart w:id="54" w:name="_Toc84611061"/>
      <w:bookmarkStart w:id="55" w:name="_Toc89326551"/>
      <w:r>
        <w:t>8.1</w:t>
      </w:r>
      <w:r>
        <w:tab/>
      </w:r>
      <w:r w:rsidR="00A145D8" w:rsidRPr="00A145D8">
        <w:t>All key staff listed within this policy with responsibilities in relation to Whistleblowing will receive appropriate training on how to receive and deal with concerns.</w:t>
      </w:r>
      <w:r w:rsidR="00A145D8">
        <w:t xml:space="preserve">  </w:t>
      </w:r>
    </w:p>
    <w:p w14:paraId="2521B063" w14:textId="06B92B33" w:rsidR="003806ED" w:rsidRDefault="00B901CD" w:rsidP="00B901CD">
      <w:pPr>
        <w:ind w:hanging="1134"/>
      </w:pPr>
      <w:r>
        <w:lastRenderedPageBreak/>
        <w:t>8.2</w:t>
      </w:r>
      <w:r>
        <w:tab/>
      </w:r>
      <w:r w:rsidR="003806ED">
        <w:t xml:space="preserve">Training for staff is </w:t>
      </w:r>
      <w:r w:rsidR="00047E29">
        <w:t>provided by</w:t>
      </w:r>
      <w:r w:rsidR="003806ED">
        <w:t xml:space="preserve"> the National Guardian’s Office </w:t>
      </w:r>
      <w:r w:rsidR="00047E29">
        <w:t>and available via ESR</w:t>
      </w:r>
      <w:r w:rsidR="003806ED">
        <w:t>.</w:t>
      </w:r>
      <w:r w:rsidR="00E34376">
        <w:t xml:space="preserve"> </w:t>
      </w:r>
      <w:r w:rsidR="00407774">
        <w:t xml:space="preserve">FTSU Champions are required to complete all 3 online modules (Speak Up, Listen Up, Follow Up) and to keep this training regularly updated. </w:t>
      </w:r>
      <w:r w:rsidR="00047E29">
        <w:t>In addition to these 3 courses, t</w:t>
      </w:r>
      <w:r w:rsidR="003806ED">
        <w:t>he ICB’s FTSU Guardian will be required to undertake the foundation training provided by the National Guardian’s Office (</w:t>
      </w:r>
      <w:hyperlink r:id="rId36" w:history="1">
        <w:r w:rsidR="003806ED">
          <w:rPr>
            <w:rStyle w:val="Hyperlink"/>
          </w:rPr>
          <w:t>Training for Guardians</w:t>
        </w:r>
      </w:hyperlink>
      <w:r w:rsidR="003806ED">
        <w:t>) and to keep this training regularly updated.</w:t>
      </w:r>
    </w:p>
    <w:p w14:paraId="7DF6B752" w14:textId="38BCE7B1" w:rsidR="00F913CD" w:rsidRPr="0015255F" w:rsidRDefault="00F913CD" w:rsidP="00D7524B">
      <w:pPr>
        <w:pStyle w:val="Heading2"/>
      </w:pPr>
      <w:bookmarkStart w:id="56" w:name="_Toc152597555"/>
      <w:r w:rsidRPr="0015255F">
        <w:t xml:space="preserve">Arrangements </w:t>
      </w:r>
      <w:r w:rsidR="00D7524B">
        <w:t>f</w:t>
      </w:r>
      <w:r w:rsidRPr="0015255F">
        <w:t>or Review</w:t>
      </w:r>
      <w:bookmarkEnd w:id="54"/>
      <w:bookmarkEnd w:id="55"/>
      <w:bookmarkEnd w:id="56"/>
    </w:p>
    <w:p w14:paraId="7CE3CD4E" w14:textId="28AAD921" w:rsidR="00F913CD" w:rsidRPr="0015255F" w:rsidRDefault="00B901CD" w:rsidP="00B901CD">
      <w:pPr>
        <w:ind w:hanging="1134"/>
      </w:pPr>
      <w:r w:rsidRPr="006A1F33">
        <w:t>9.1</w:t>
      </w:r>
      <w:r w:rsidRPr="006A1F33">
        <w:tab/>
      </w:r>
      <w:r w:rsidR="00F913CD" w:rsidRPr="006A1F33">
        <w:t xml:space="preserve">This policy will be reviewed </w:t>
      </w:r>
      <w:r w:rsidR="00046DF4" w:rsidRPr="006A1F33">
        <w:t>annually</w:t>
      </w:r>
      <w:r w:rsidR="00F913CD" w:rsidRPr="006A1F33">
        <w:t>.  An earlier review will be carried out in</w:t>
      </w:r>
      <w:r w:rsidR="00F913CD" w:rsidRPr="0015255F">
        <w:t xml:space="preserve"> the event of any relevant changes in legislation, national or local policy/guidance, organisational change or other circumstances which mean the policy needs to be reviewed.</w:t>
      </w:r>
      <w:r w:rsidR="003E4C68">
        <w:t xml:space="preserve">  </w:t>
      </w:r>
    </w:p>
    <w:p w14:paraId="4A4827BD" w14:textId="6DAB22F7" w:rsidR="00F913CD" w:rsidRPr="0015255F" w:rsidRDefault="00B901CD" w:rsidP="00B901CD">
      <w:pPr>
        <w:ind w:hanging="1134"/>
      </w:pPr>
      <w:r>
        <w:t>9.2</w:t>
      </w:r>
      <w:r>
        <w:tab/>
      </w:r>
      <w:r w:rsidR="00F913CD"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7" w:name="_Toc84611062"/>
    </w:p>
    <w:p w14:paraId="4D2967FC" w14:textId="4366AF07" w:rsidR="00F913CD" w:rsidRPr="0015255F" w:rsidRDefault="00F913CD" w:rsidP="00D7524B">
      <w:pPr>
        <w:pStyle w:val="Heading2"/>
      </w:pPr>
      <w:bookmarkStart w:id="58" w:name="_Toc89326552"/>
      <w:bookmarkStart w:id="59" w:name="_Toc152597556"/>
      <w:bookmarkEnd w:id="57"/>
      <w:r w:rsidRPr="0015255F">
        <w:t xml:space="preserve">Associated Policies, Guidance </w:t>
      </w:r>
      <w:r w:rsidR="00991344">
        <w:t>a</w:t>
      </w:r>
      <w:r w:rsidRPr="0015255F">
        <w:t>nd Documents</w:t>
      </w:r>
      <w:bookmarkEnd w:id="58"/>
      <w:bookmarkEnd w:id="59"/>
    </w:p>
    <w:bookmarkStart w:id="60" w:name="_Hlk91676942"/>
    <w:p w14:paraId="18A80DAE" w14:textId="40978615" w:rsidR="0028708F" w:rsidRDefault="0028708F" w:rsidP="0028708F">
      <w:pPr>
        <w:pStyle w:val="ListParagraph"/>
      </w:pPr>
      <w:r>
        <w:fldChar w:fldCharType="begin"/>
      </w:r>
      <w:r>
        <w:instrText>HYPERLINK "https://www.england.nhs.uk/publication/freedom-to-speak-up-raising-concerns-whistleblowing-policy-for-the-nhs/"</w:instrText>
      </w:r>
      <w:r>
        <w:fldChar w:fldCharType="separate"/>
      </w:r>
      <w:r>
        <w:rPr>
          <w:rStyle w:val="Hyperlink"/>
        </w:rPr>
        <w:t xml:space="preserve">Standard Integrated Freedom </w:t>
      </w:r>
      <w:proofErr w:type="gramStart"/>
      <w:r>
        <w:rPr>
          <w:rStyle w:val="Hyperlink"/>
        </w:rPr>
        <w:t>To</w:t>
      </w:r>
      <w:proofErr w:type="gramEnd"/>
      <w:r>
        <w:rPr>
          <w:rStyle w:val="Hyperlink"/>
        </w:rPr>
        <w:t xml:space="preserve"> Speak Up Policy for the NHS</w:t>
      </w:r>
      <w:r>
        <w:fldChar w:fldCharType="end"/>
      </w:r>
      <w:r>
        <w:t>.</w:t>
      </w:r>
    </w:p>
    <w:p w14:paraId="51C40CEA" w14:textId="775D8500" w:rsidR="0028708F" w:rsidRDefault="008320CF" w:rsidP="0028708F">
      <w:pPr>
        <w:pStyle w:val="ListParagraph"/>
      </w:pPr>
      <w:hyperlink r:id="rId37" w:history="1">
        <w:r w:rsidR="0028708F">
          <w:rPr>
            <w:rStyle w:val="Hyperlink"/>
          </w:rPr>
          <w:t>National Guardian's Office Freedom to Speak Up Policy Review Framework</w:t>
        </w:r>
      </w:hyperlink>
      <w:r w:rsidR="0028708F">
        <w:t>.</w:t>
      </w:r>
    </w:p>
    <w:p w14:paraId="59C45A31" w14:textId="5CF1EDA3" w:rsidR="007B7EBC" w:rsidRDefault="008320CF" w:rsidP="00CE2784">
      <w:pPr>
        <w:pStyle w:val="ListParagraph"/>
      </w:pPr>
      <w:hyperlink r:id="rId38" w:history="1">
        <w:r w:rsidR="00CE2784">
          <w:rPr>
            <w:rStyle w:val="Hyperlink"/>
          </w:rPr>
          <w:t>ICB Constitution</w:t>
        </w:r>
      </w:hyperlink>
      <w:r w:rsidR="004E4D8C">
        <w:t>.</w:t>
      </w:r>
    </w:p>
    <w:p w14:paraId="48367ABA" w14:textId="4C4BF1F0" w:rsidR="00D47578" w:rsidRDefault="008320CF" w:rsidP="00CE2784">
      <w:pPr>
        <w:pStyle w:val="ListParagraph"/>
      </w:pPr>
      <w:hyperlink r:id="rId39" w:history="1">
        <w:r w:rsidR="0094087C" w:rsidRPr="0094087C">
          <w:rPr>
            <w:rStyle w:val="Hyperlink"/>
          </w:rPr>
          <w:t xml:space="preserve">National Policy and Guidance </w:t>
        </w:r>
      </w:hyperlink>
      <w:r w:rsidR="00D47578">
        <w:t xml:space="preserve"> </w:t>
      </w:r>
    </w:p>
    <w:bookmarkEnd w:id="60"/>
    <w:p w14:paraId="545A7585" w14:textId="1CD1FBF8" w:rsidR="00A145D8" w:rsidRPr="003528B5" w:rsidRDefault="003528B5" w:rsidP="001921BF">
      <w:pPr>
        <w:pStyle w:val="Heading4"/>
        <w:ind w:left="1134"/>
        <w:rPr>
          <w:color w:val="0000FF"/>
        </w:rPr>
      </w:pPr>
      <w:r w:rsidRPr="003528B5">
        <w:rPr>
          <w:color w:val="0000FF"/>
        </w:rPr>
        <w:fldChar w:fldCharType="begin"/>
      </w:r>
      <w:r w:rsidRPr="003528B5">
        <w:rPr>
          <w:color w:val="0000FF"/>
        </w:rPr>
        <w:instrText xml:space="preserve"> HYPERLINK "https://www.midandsouthessex.ics.nhs.uk/publications/?publications_category=icb-policies" </w:instrText>
      </w:r>
      <w:r w:rsidRPr="003528B5">
        <w:rPr>
          <w:color w:val="0000FF"/>
        </w:rPr>
      </w:r>
      <w:r w:rsidRPr="003528B5">
        <w:rPr>
          <w:color w:val="0000FF"/>
        </w:rPr>
        <w:fldChar w:fldCharType="separate"/>
      </w:r>
      <w:r w:rsidR="00F913CD" w:rsidRPr="003528B5">
        <w:rPr>
          <w:rStyle w:val="Hyperlink"/>
          <w:color w:val="0000FF"/>
        </w:rPr>
        <w:t xml:space="preserve">Associated </w:t>
      </w:r>
      <w:r w:rsidR="001921BF" w:rsidRPr="003528B5">
        <w:rPr>
          <w:rStyle w:val="Hyperlink"/>
          <w:color w:val="0000FF"/>
        </w:rPr>
        <w:t xml:space="preserve">ICB </w:t>
      </w:r>
      <w:r w:rsidR="00F913CD" w:rsidRPr="003528B5">
        <w:rPr>
          <w:rStyle w:val="Hyperlink"/>
          <w:color w:val="0000FF"/>
        </w:rPr>
        <w:t>Policies</w:t>
      </w:r>
      <w:bookmarkStart w:id="61" w:name="_Toc89326553"/>
      <w:r w:rsidRPr="003528B5">
        <w:rPr>
          <w:color w:val="0000FF"/>
        </w:rPr>
        <w:fldChar w:fldCharType="end"/>
      </w:r>
    </w:p>
    <w:p w14:paraId="7E1F535C" w14:textId="14499F86" w:rsidR="00A145D8" w:rsidRPr="004E4D8C" w:rsidRDefault="00A145D8" w:rsidP="00A145D8">
      <w:pPr>
        <w:pStyle w:val="ListParagraph"/>
        <w:rPr>
          <w:rFonts w:asciiTheme="majorHAnsi" w:eastAsiaTheme="majorEastAsia" w:hAnsiTheme="majorHAnsi" w:cstheme="majorBidi"/>
          <w:b/>
          <w:color w:val="auto"/>
        </w:rPr>
      </w:pPr>
      <w:r w:rsidRPr="004E4D8C">
        <w:rPr>
          <w:color w:val="auto"/>
        </w:rPr>
        <w:t>Com</w:t>
      </w:r>
      <w:r w:rsidR="004E4D8C">
        <w:rPr>
          <w:color w:val="auto"/>
        </w:rPr>
        <w:t xml:space="preserve">pliments, </w:t>
      </w:r>
      <w:r w:rsidR="004E4D8C" w:rsidRPr="004E4D8C">
        <w:rPr>
          <w:color w:val="auto"/>
        </w:rPr>
        <w:t xml:space="preserve">Concerns and </w:t>
      </w:r>
      <w:r w:rsidR="004E4D8C">
        <w:rPr>
          <w:color w:val="auto"/>
        </w:rPr>
        <w:t>Comp</w:t>
      </w:r>
      <w:r w:rsidRPr="004E4D8C">
        <w:rPr>
          <w:color w:val="auto"/>
        </w:rPr>
        <w:t>laints Policy</w:t>
      </w:r>
      <w:r w:rsidR="004E4D8C">
        <w:rPr>
          <w:color w:val="auto"/>
        </w:rPr>
        <w:t>.</w:t>
      </w:r>
    </w:p>
    <w:p w14:paraId="40CFFEE6" w14:textId="452CA9AD" w:rsidR="00A145D8" w:rsidRPr="004E4D8C" w:rsidRDefault="00A145D8" w:rsidP="00A145D8">
      <w:pPr>
        <w:pStyle w:val="ListParagraph"/>
        <w:rPr>
          <w:rFonts w:asciiTheme="majorHAnsi" w:eastAsiaTheme="majorEastAsia" w:hAnsiTheme="majorHAnsi" w:cstheme="majorBidi"/>
          <w:b/>
          <w:color w:val="auto"/>
        </w:rPr>
      </w:pPr>
      <w:r w:rsidRPr="004E4D8C">
        <w:rPr>
          <w:color w:val="auto"/>
        </w:rPr>
        <w:t>Grievance Policy</w:t>
      </w:r>
      <w:r w:rsidR="004E4D8C">
        <w:rPr>
          <w:color w:val="auto"/>
        </w:rPr>
        <w:t>.</w:t>
      </w:r>
    </w:p>
    <w:p w14:paraId="7F3F16C5" w14:textId="5D761EB9" w:rsidR="00A145D8" w:rsidRPr="004E4D8C" w:rsidRDefault="00A145D8" w:rsidP="00A145D8">
      <w:pPr>
        <w:pStyle w:val="ListParagraph"/>
        <w:rPr>
          <w:rFonts w:asciiTheme="majorHAnsi" w:eastAsiaTheme="majorEastAsia" w:hAnsiTheme="majorHAnsi" w:cstheme="majorBidi"/>
          <w:b/>
          <w:color w:val="auto"/>
        </w:rPr>
      </w:pPr>
      <w:r w:rsidRPr="004E4D8C">
        <w:rPr>
          <w:color w:val="auto"/>
        </w:rPr>
        <w:t>Incident Reporting Policy</w:t>
      </w:r>
      <w:r w:rsidR="004E4D8C">
        <w:rPr>
          <w:color w:val="auto"/>
        </w:rPr>
        <w:t>.</w:t>
      </w:r>
    </w:p>
    <w:p w14:paraId="5D276A06" w14:textId="60DD3E3D" w:rsidR="00846A1E" w:rsidRPr="004E4D8C" w:rsidRDefault="002F2E8F" w:rsidP="00A145D8">
      <w:pPr>
        <w:pStyle w:val="ListParagraph"/>
        <w:rPr>
          <w:rFonts w:asciiTheme="majorHAnsi" w:eastAsiaTheme="majorEastAsia" w:hAnsiTheme="majorHAnsi" w:cstheme="majorBidi"/>
          <w:b/>
          <w:color w:val="auto"/>
        </w:rPr>
      </w:pPr>
      <w:r>
        <w:rPr>
          <w:color w:val="auto"/>
        </w:rPr>
        <w:t>Dignity at Work</w:t>
      </w:r>
      <w:r w:rsidR="00846A1E" w:rsidRPr="004E4D8C">
        <w:rPr>
          <w:color w:val="auto"/>
        </w:rPr>
        <w:t xml:space="preserve"> Policy</w:t>
      </w:r>
      <w:r w:rsidR="004E4D8C">
        <w:rPr>
          <w:color w:val="auto"/>
        </w:rPr>
        <w:t>.</w:t>
      </w:r>
    </w:p>
    <w:p w14:paraId="0A4DF1AC" w14:textId="78983AF9" w:rsidR="001118C0" w:rsidRPr="004E4D8C" w:rsidRDefault="001118C0" w:rsidP="00A145D8">
      <w:pPr>
        <w:pStyle w:val="ListParagraph"/>
        <w:rPr>
          <w:rFonts w:asciiTheme="majorHAnsi" w:eastAsiaTheme="majorEastAsia" w:hAnsiTheme="majorHAnsi" w:cstheme="majorBidi"/>
          <w:b/>
          <w:color w:val="auto"/>
        </w:rPr>
      </w:pPr>
      <w:r w:rsidRPr="004E4D8C">
        <w:rPr>
          <w:color w:val="auto"/>
        </w:rPr>
        <w:t>Standards of Business Conduct Policy</w:t>
      </w:r>
      <w:r w:rsidR="004E4D8C">
        <w:rPr>
          <w:color w:val="auto"/>
        </w:rPr>
        <w:t>.</w:t>
      </w:r>
    </w:p>
    <w:p w14:paraId="2B93EE17" w14:textId="0057F8AC" w:rsidR="001118C0" w:rsidRPr="004E4D8C" w:rsidRDefault="004E4D8C" w:rsidP="00A145D8">
      <w:pPr>
        <w:pStyle w:val="ListParagraph"/>
        <w:rPr>
          <w:rFonts w:asciiTheme="majorHAnsi" w:eastAsiaTheme="majorEastAsia" w:hAnsiTheme="majorHAnsi" w:cstheme="majorBidi"/>
          <w:b/>
          <w:color w:val="auto"/>
        </w:rPr>
      </w:pPr>
      <w:r>
        <w:rPr>
          <w:color w:val="auto"/>
        </w:rPr>
        <w:t xml:space="preserve">Counter </w:t>
      </w:r>
      <w:r w:rsidR="001118C0" w:rsidRPr="004E4D8C">
        <w:rPr>
          <w:color w:val="auto"/>
        </w:rPr>
        <w:t>Fraud</w:t>
      </w:r>
      <w:r>
        <w:rPr>
          <w:color w:val="auto"/>
        </w:rPr>
        <w:t xml:space="preserve">, </w:t>
      </w:r>
      <w:r w:rsidR="001118C0" w:rsidRPr="004E4D8C">
        <w:rPr>
          <w:color w:val="auto"/>
        </w:rPr>
        <w:t xml:space="preserve">Bribery </w:t>
      </w:r>
      <w:r>
        <w:rPr>
          <w:color w:val="auto"/>
        </w:rPr>
        <w:t xml:space="preserve">and Corruption </w:t>
      </w:r>
      <w:r w:rsidR="001118C0" w:rsidRPr="004E4D8C">
        <w:rPr>
          <w:color w:val="auto"/>
        </w:rPr>
        <w:t>Policy</w:t>
      </w:r>
      <w:r>
        <w:rPr>
          <w:color w:val="auto"/>
        </w:rPr>
        <w:t>.</w:t>
      </w:r>
    </w:p>
    <w:p w14:paraId="3EB8676E" w14:textId="5CB57A0F" w:rsidR="001118C0" w:rsidRPr="00B12850" w:rsidRDefault="001118C0" w:rsidP="00A145D8">
      <w:pPr>
        <w:pStyle w:val="ListParagraph"/>
        <w:rPr>
          <w:rFonts w:asciiTheme="majorHAnsi" w:eastAsiaTheme="majorEastAsia" w:hAnsiTheme="majorHAnsi" w:cstheme="majorBidi"/>
          <w:b/>
          <w:color w:val="auto"/>
        </w:rPr>
      </w:pPr>
      <w:r w:rsidRPr="004E4D8C">
        <w:rPr>
          <w:color w:val="auto"/>
        </w:rPr>
        <w:t>Conflicts of Interest Policy</w:t>
      </w:r>
      <w:r w:rsidR="004E4D8C">
        <w:rPr>
          <w:color w:val="auto"/>
        </w:rPr>
        <w:t>.</w:t>
      </w:r>
    </w:p>
    <w:p w14:paraId="79BF51D6" w14:textId="058EE140" w:rsidR="00B12850" w:rsidRPr="0078058B" w:rsidRDefault="00B12850" w:rsidP="00A145D8">
      <w:pPr>
        <w:pStyle w:val="ListParagraph"/>
        <w:rPr>
          <w:rFonts w:asciiTheme="majorHAnsi" w:eastAsiaTheme="majorEastAsia" w:hAnsiTheme="majorHAnsi" w:cstheme="majorBidi"/>
          <w:b/>
          <w:color w:val="auto"/>
        </w:rPr>
      </w:pPr>
      <w:r>
        <w:rPr>
          <w:color w:val="auto"/>
        </w:rPr>
        <w:t xml:space="preserve">Patient Safety Incident Response Framework Policy </w:t>
      </w:r>
    </w:p>
    <w:p w14:paraId="23825361" w14:textId="49363D07" w:rsidR="00F913CD" w:rsidRPr="0015255F" w:rsidRDefault="00F913CD" w:rsidP="00D7524B">
      <w:pPr>
        <w:pStyle w:val="Heading2"/>
      </w:pPr>
      <w:bookmarkStart w:id="62" w:name="_Toc152597557"/>
      <w:r w:rsidRPr="0015255F">
        <w:t>References</w:t>
      </w:r>
      <w:bookmarkEnd w:id="61"/>
      <w:bookmarkEnd w:id="62"/>
    </w:p>
    <w:bookmarkStart w:id="63" w:name="_Toc89326554"/>
    <w:p w14:paraId="4E934DF1" w14:textId="592B23E8" w:rsidR="001921BF" w:rsidRDefault="001921BF" w:rsidP="001921BF">
      <w:pPr>
        <w:pStyle w:val="ListParagraph"/>
      </w:pPr>
      <w:r>
        <w:fldChar w:fldCharType="begin"/>
      </w:r>
      <w:r>
        <w:instrText>HYPERLINK "https://www.legislation.gov.uk/ukpga/1998/23/contents"</w:instrText>
      </w:r>
      <w:r>
        <w:fldChar w:fldCharType="separate"/>
      </w:r>
      <w:r>
        <w:rPr>
          <w:rStyle w:val="Hyperlink"/>
        </w:rPr>
        <w:t xml:space="preserve">Public Interest Disclosure Act 1998. </w:t>
      </w:r>
      <w:r>
        <w:fldChar w:fldCharType="end"/>
      </w:r>
    </w:p>
    <w:p w14:paraId="0749B5BB" w14:textId="77777777" w:rsidR="00F913CD" w:rsidRPr="0015255F" w:rsidRDefault="00F913CD" w:rsidP="00D7524B">
      <w:pPr>
        <w:pStyle w:val="Heading2"/>
      </w:pPr>
      <w:bookmarkStart w:id="64" w:name="_Toc152597558"/>
      <w:r w:rsidRPr="0015255F">
        <w:t>Equality Impact Assessment</w:t>
      </w:r>
      <w:bookmarkEnd w:id="63"/>
      <w:bookmarkEnd w:id="64"/>
    </w:p>
    <w:p w14:paraId="1AA5C6C5" w14:textId="54D80468" w:rsidR="006606C1" w:rsidRPr="003A663C" w:rsidRDefault="00B901CD" w:rsidP="00440C4E">
      <w:pPr>
        <w:ind w:hanging="1134"/>
        <w:rPr>
          <w:rFonts w:asciiTheme="majorHAnsi" w:eastAsiaTheme="majorEastAsia" w:hAnsiTheme="majorHAnsi" w:cstheme="majorBidi"/>
          <w:color w:val="001743" w:themeColor="accent1" w:themeShade="7F"/>
        </w:rPr>
      </w:pPr>
      <w:r>
        <w:t>12.1</w:t>
      </w:r>
      <w:r>
        <w:tab/>
      </w:r>
      <w:r w:rsidR="007B7EBC">
        <w:t>T</w:t>
      </w:r>
      <w:r w:rsidR="00F913CD" w:rsidRPr="0015255F">
        <w:t xml:space="preserve">he EIA </w:t>
      </w:r>
      <w:r w:rsidR="00440C4E">
        <w:t xml:space="preserve">at </w:t>
      </w:r>
      <w:r w:rsidR="00440C4E" w:rsidRPr="00440C4E">
        <w:rPr>
          <w:b/>
          <w:bCs/>
        </w:rPr>
        <w:t>Appendix A</w:t>
      </w:r>
      <w:r w:rsidR="00440C4E">
        <w:t xml:space="preserve"> </w:t>
      </w:r>
      <w:r w:rsidR="00F913CD" w:rsidRPr="0015255F">
        <w:t xml:space="preserve">has identified no equality issues with this policy.  </w:t>
      </w:r>
      <w:r w:rsidR="008344D6">
        <w:br w:type="page"/>
      </w:r>
    </w:p>
    <w:p w14:paraId="64C72BB0" w14:textId="77777777" w:rsidR="006606C1" w:rsidRPr="00FC7C60" w:rsidRDefault="006606C1" w:rsidP="00D7524B">
      <w:pPr>
        <w:pStyle w:val="Heading2"/>
        <w:numPr>
          <w:ilvl w:val="0"/>
          <w:numId w:val="0"/>
        </w:numPr>
      </w:pPr>
      <w:bookmarkStart w:id="65" w:name="_Toc419388298"/>
      <w:bookmarkStart w:id="66" w:name="_Toc47357161"/>
      <w:bookmarkStart w:id="67" w:name="_Toc84611065"/>
      <w:bookmarkStart w:id="68" w:name="_Toc89326555"/>
      <w:bookmarkStart w:id="69" w:name="_Toc152597559"/>
      <w:r w:rsidRPr="006606C1">
        <w:lastRenderedPageBreak/>
        <w:t>Appendix</w:t>
      </w:r>
      <w:r>
        <w:t xml:space="preserve"> A</w:t>
      </w:r>
      <w:bookmarkEnd w:id="65"/>
      <w:bookmarkEnd w:id="66"/>
      <w:bookmarkEnd w:id="67"/>
      <w:bookmarkEnd w:id="68"/>
      <w:r>
        <w:t xml:space="preserve"> </w:t>
      </w:r>
      <w:bookmarkStart w:id="70" w:name="_Toc84611066"/>
      <w:bookmarkStart w:id="71" w:name="_Toc89326556"/>
      <w:r w:rsidR="003A663C">
        <w:t xml:space="preserve">- </w:t>
      </w:r>
      <w:r w:rsidRPr="00FC7C60">
        <w:t>Equality Impact Assessment</w:t>
      </w:r>
      <w:bookmarkEnd w:id="69"/>
      <w:bookmarkEnd w:id="70"/>
      <w:bookmarkEnd w:id="71"/>
    </w:p>
    <w:p w14:paraId="4226841C" w14:textId="77777777" w:rsidR="00121516" w:rsidRPr="0039715A" w:rsidRDefault="00121516" w:rsidP="00121516">
      <w:pPr>
        <w:keepNext/>
        <w:keepLines/>
        <w:spacing w:before="240"/>
        <w:ind w:left="0"/>
        <w:outlineLvl w:val="0"/>
        <w:rPr>
          <w:rFonts w:asciiTheme="majorHAnsi" w:eastAsia="Times New Roman" w:hAnsiTheme="majorHAnsi" w:cstheme="majorBidi"/>
          <w:b/>
        </w:rPr>
      </w:pPr>
      <w:bookmarkStart w:id="72" w:name="_Toc89326557"/>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5"/>
        <w:gridCol w:w="3850"/>
      </w:tblGrid>
      <w:tr w:rsidR="00121516" w:rsidRPr="0039715A" w14:paraId="79D5A0E0" w14:textId="77777777" w:rsidTr="00773A7F">
        <w:trPr>
          <w:trHeight w:val="885"/>
        </w:trPr>
        <w:tc>
          <w:tcPr>
            <w:tcW w:w="2966" w:type="pct"/>
          </w:tcPr>
          <w:p w14:paraId="5AA6FBF7" w14:textId="1F315F43" w:rsidR="00121516" w:rsidRPr="0039715A" w:rsidRDefault="00121516" w:rsidP="00121516">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r w:rsidR="00D47578">
              <w:t>Freedom to Speak Up/Whistleblowing</w:t>
            </w:r>
            <w:r w:rsidRPr="00F87AEA">
              <w:t xml:space="preserve"> </w:t>
            </w:r>
            <w:r>
              <w:t>P</w:t>
            </w:r>
            <w:r w:rsidRPr="00F87AEA">
              <w:t>olicy</w:t>
            </w:r>
          </w:p>
          <w:p w14:paraId="1C587023" w14:textId="02C9773C"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Cs/>
                <w:color w:val="auto"/>
              </w:rPr>
              <w:tab/>
            </w:r>
          </w:p>
          <w:p w14:paraId="379F1839" w14:textId="44C907BE" w:rsidR="00121516" w:rsidRPr="00121516" w:rsidRDefault="00121516" w:rsidP="00121516">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r w:rsidR="004E4D8C" w:rsidRPr="004E4D8C">
              <w:rPr>
                <w:rFonts w:ascii="Arial" w:eastAsia="Times New Roman" w:hAnsi="Arial" w:cs="Arial"/>
                <w:color w:val="auto"/>
              </w:rPr>
              <w:t>1</w:t>
            </w:r>
            <w:r w:rsidR="00CE2784">
              <w:rPr>
                <w:rFonts w:ascii="Arial" w:eastAsia="Times New Roman" w:hAnsi="Arial" w:cs="Arial"/>
                <w:color w:val="auto"/>
              </w:rPr>
              <w:t>.0</w:t>
            </w:r>
          </w:p>
        </w:tc>
        <w:tc>
          <w:tcPr>
            <w:tcW w:w="2034" w:type="pct"/>
          </w:tcPr>
          <w:p w14:paraId="6D710ED5" w14:textId="4A31AC4D"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r w:rsidR="00CE2784">
              <w:rPr>
                <w:rFonts w:ascii="Arial" w:eastAsia="Times New Roman" w:hAnsi="Arial" w:cs="Arial"/>
                <w:bCs/>
                <w:color w:val="auto"/>
              </w:rPr>
              <w:t>People / HR</w:t>
            </w:r>
          </w:p>
          <w:p w14:paraId="2552F033" w14:textId="77777777" w:rsidR="00121516" w:rsidRPr="0039715A" w:rsidRDefault="00121516" w:rsidP="00121516">
            <w:pPr>
              <w:spacing w:before="0" w:after="0"/>
              <w:ind w:left="0"/>
              <w:rPr>
                <w:rFonts w:ascii="Arial" w:eastAsia="Times New Roman" w:hAnsi="Arial" w:cs="Arial"/>
                <w:bCs/>
                <w:color w:val="auto"/>
              </w:rPr>
            </w:pPr>
          </w:p>
        </w:tc>
      </w:tr>
      <w:tr w:rsidR="00121516" w:rsidRPr="0039715A" w14:paraId="14D0FF5A" w14:textId="77777777" w:rsidTr="00121516">
        <w:tc>
          <w:tcPr>
            <w:tcW w:w="2966" w:type="pct"/>
          </w:tcPr>
          <w:p w14:paraId="24F56683" w14:textId="2529BAAD" w:rsidR="00121516" w:rsidRPr="00121516" w:rsidRDefault="00121516" w:rsidP="00121516">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r w:rsidR="00D47578">
              <w:rPr>
                <w:rFonts w:ascii="Arial" w:eastAsia="Times New Roman" w:hAnsi="Arial" w:cs="Arial"/>
                <w:color w:val="auto"/>
              </w:rPr>
              <w:t xml:space="preserve">Judith </w:t>
            </w:r>
            <w:proofErr w:type="gramStart"/>
            <w:r w:rsidR="00D47578">
              <w:rPr>
                <w:rFonts w:ascii="Arial" w:eastAsia="Times New Roman" w:hAnsi="Arial" w:cs="Arial"/>
                <w:color w:val="auto"/>
              </w:rPr>
              <w:t>Low</w:t>
            </w:r>
            <w:r w:rsidRPr="00121516">
              <w:rPr>
                <w:rFonts w:ascii="Arial" w:eastAsia="Times New Roman" w:hAnsi="Arial" w:cs="Arial"/>
                <w:color w:val="auto"/>
              </w:rPr>
              <w:t xml:space="preserve">, </w:t>
            </w:r>
            <w:r w:rsidR="00D47578">
              <w:rPr>
                <w:rFonts w:ascii="Arial" w:eastAsia="Times New Roman" w:hAnsi="Arial" w:cs="Arial"/>
                <w:color w:val="auto"/>
              </w:rPr>
              <w:t xml:space="preserve"> Senior</w:t>
            </w:r>
            <w:proofErr w:type="gramEnd"/>
            <w:r w:rsidR="00D47578">
              <w:rPr>
                <w:rFonts w:ascii="Arial" w:eastAsia="Times New Roman" w:hAnsi="Arial" w:cs="Arial"/>
                <w:color w:val="auto"/>
              </w:rPr>
              <w:t xml:space="preserve"> HR Business Partner </w:t>
            </w:r>
          </w:p>
        </w:tc>
        <w:tc>
          <w:tcPr>
            <w:tcW w:w="2034" w:type="pct"/>
          </w:tcPr>
          <w:p w14:paraId="756A6EAD" w14:textId="032BFAE8"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D47578">
              <w:rPr>
                <w:rFonts w:ascii="Arial" w:eastAsia="Times New Roman" w:hAnsi="Arial" w:cs="Arial"/>
                <w:bCs/>
                <w:color w:val="auto"/>
              </w:rPr>
              <w:t>6 December</w:t>
            </w:r>
            <w:r>
              <w:rPr>
                <w:rFonts w:ascii="Arial" w:eastAsia="Times New Roman" w:hAnsi="Arial" w:cs="Arial"/>
                <w:bCs/>
                <w:color w:val="auto"/>
              </w:rPr>
              <w:t xml:space="preserve"> 202</w:t>
            </w:r>
            <w:r w:rsidR="0094087C">
              <w:rPr>
                <w:rFonts w:ascii="Arial" w:eastAsia="Times New Roman" w:hAnsi="Arial" w:cs="Arial"/>
                <w:bCs/>
                <w:color w:val="auto"/>
              </w:rPr>
              <w:t>3</w:t>
            </w:r>
          </w:p>
          <w:p w14:paraId="0F24E0CE" w14:textId="77777777" w:rsidR="00121516" w:rsidRPr="0039715A" w:rsidRDefault="00121516" w:rsidP="00121516">
            <w:pPr>
              <w:spacing w:before="0" w:after="0"/>
              <w:ind w:left="0"/>
              <w:rPr>
                <w:rFonts w:ascii="Arial" w:eastAsia="Times New Roman" w:hAnsi="Arial" w:cs="Arial"/>
                <w:bCs/>
                <w:color w:val="auto"/>
              </w:rPr>
            </w:pPr>
          </w:p>
        </w:tc>
      </w:tr>
    </w:tbl>
    <w:p w14:paraId="30E0E23C" w14:textId="77777777" w:rsidR="00121516" w:rsidRPr="0039715A" w:rsidRDefault="00121516" w:rsidP="00121516">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121516" w:rsidRPr="0039715A" w14:paraId="315EFA72" w14:textId="77777777" w:rsidTr="00121516">
        <w:tc>
          <w:tcPr>
            <w:tcW w:w="5000" w:type="pct"/>
            <w:vAlign w:val="center"/>
          </w:tcPr>
          <w:p w14:paraId="3E53D6AA" w14:textId="77777777" w:rsidR="00121516" w:rsidRPr="0039715A" w:rsidRDefault="00121516" w:rsidP="00121516">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121516" w:rsidRPr="0039715A" w14:paraId="4CA082CA" w14:textId="77777777" w:rsidTr="00121516">
        <w:tc>
          <w:tcPr>
            <w:tcW w:w="5000" w:type="pct"/>
          </w:tcPr>
          <w:p w14:paraId="23BAB438"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121516" w:rsidRPr="0039715A" w14:paraId="06824698" w14:textId="77777777" w:rsidTr="00121516">
        <w:trPr>
          <w:trHeight w:val="1403"/>
        </w:trPr>
        <w:tc>
          <w:tcPr>
            <w:tcW w:w="5000" w:type="pct"/>
          </w:tcPr>
          <w:p w14:paraId="44C64CEF" w14:textId="412967B3" w:rsidR="00121516" w:rsidRPr="00121516" w:rsidRDefault="00121516" w:rsidP="00121516">
            <w:pPr>
              <w:pStyle w:val="Heading4"/>
              <w:spacing w:before="0" w:after="0"/>
              <w:rPr>
                <w:rFonts w:asciiTheme="minorHAnsi" w:eastAsiaTheme="minorHAnsi" w:hAnsiTheme="minorHAnsi" w:cstheme="minorBidi"/>
                <w:b w:val="0"/>
                <w:iCs w:val="0"/>
              </w:rPr>
            </w:pPr>
            <w:r w:rsidRPr="00F83BFF">
              <w:rPr>
                <w:rFonts w:asciiTheme="minorHAnsi" w:eastAsiaTheme="minorHAnsi" w:hAnsiTheme="minorHAnsi" w:cstheme="minorBidi"/>
                <w:b w:val="0"/>
                <w:iCs w:val="0"/>
              </w:rPr>
              <w:t>This procedure is designed to enable people to raise serious concerns (i.e. to blow</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the whistle) safely so that such issues are raised at an early stage and in the right</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 xml:space="preserve">way </w:t>
            </w:r>
            <w:r>
              <w:rPr>
                <w:rFonts w:asciiTheme="minorHAnsi" w:eastAsiaTheme="minorHAnsi" w:hAnsiTheme="minorHAnsi" w:cstheme="minorBidi"/>
                <w:b w:val="0"/>
                <w:iCs w:val="0"/>
              </w:rPr>
              <w:t xml:space="preserve">so </w:t>
            </w:r>
            <w:r w:rsidRPr="00F83BFF">
              <w:rPr>
                <w:rFonts w:asciiTheme="minorHAnsi" w:eastAsiaTheme="minorHAnsi" w:hAnsiTheme="minorHAnsi" w:cstheme="minorBidi"/>
                <w:b w:val="0"/>
                <w:iCs w:val="0"/>
              </w:rPr>
              <w:t xml:space="preserve">that they can be dealt with responsibly, </w:t>
            </w:r>
            <w:proofErr w:type="gramStart"/>
            <w:r w:rsidRPr="00F83BFF">
              <w:rPr>
                <w:rFonts w:asciiTheme="minorHAnsi" w:eastAsiaTheme="minorHAnsi" w:hAnsiTheme="minorHAnsi" w:cstheme="minorBidi"/>
                <w:b w:val="0"/>
                <w:iCs w:val="0"/>
              </w:rPr>
              <w:t>openly</w:t>
            </w:r>
            <w:proofErr w:type="gramEnd"/>
            <w:r w:rsidRPr="00F83BFF">
              <w:rPr>
                <w:rFonts w:asciiTheme="minorHAnsi" w:eastAsiaTheme="minorHAnsi" w:hAnsiTheme="minorHAnsi" w:cstheme="minorBidi"/>
                <w:b w:val="0"/>
                <w:iCs w:val="0"/>
              </w:rPr>
              <w:t xml:space="preserve"> and professionally. The</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 xml:space="preserve">procedure clarifies that </w:t>
            </w:r>
            <w:r>
              <w:rPr>
                <w:rFonts w:asciiTheme="minorHAnsi" w:eastAsiaTheme="minorHAnsi" w:hAnsiTheme="minorHAnsi" w:cstheme="minorBidi"/>
                <w:b w:val="0"/>
                <w:iCs w:val="0"/>
              </w:rPr>
              <w:t xml:space="preserve">ICB employees </w:t>
            </w:r>
            <w:r w:rsidRPr="00F83BFF">
              <w:rPr>
                <w:rFonts w:asciiTheme="minorHAnsi" w:eastAsiaTheme="minorHAnsi" w:hAnsiTheme="minorHAnsi" w:cstheme="minorBidi"/>
                <w:b w:val="0"/>
                <w:iCs w:val="0"/>
              </w:rPr>
              <w:t>raising these concerns will not be at risk of losing</w:t>
            </w:r>
            <w:r>
              <w:rPr>
                <w:rFonts w:asciiTheme="minorHAnsi" w:eastAsiaTheme="minorHAnsi" w:hAnsiTheme="minorHAnsi" w:cstheme="minorBidi"/>
                <w:b w:val="0"/>
                <w:iCs w:val="0"/>
              </w:rPr>
              <w:t xml:space="preserve"> </w:t>
            </w:r>
            <w:r w:rsidRPr="00F83BFF">
              <w:rPr>
                <w:rFonts w:asciiTheme="minorHAnsi" w:eastAsiaTheme="minorHAnsi" w:hAnsiTheme="minorHAnsi" w:cstheme="minorBidi"/>
                <w:b w:val="0"/>
                <w:iCs w:val="0"/>
              </w:rPr>
              <w:t>their job or suffering any f</w:t>
            </w:r>
            <w:r>
              <w:rPr>
                <w:rFonts w:asciiTheme="minorHAnsi" w:eastAsiaTheme="minorHAnsi" w:hAnsiTheme="minorHAnsi" w:cstheme="minorBidi"/>
                <w:b w:val="0"/>
                <w:iCs w:val="0"/>
              </w:rPr>
              <w:t>or</w:t>
            </w:r>
            <w:r w:rsidRPr="00F83BFF">
              <w:rPr>
                <w:rFonts w:asciiTheme="minorHAnsi" w:eastAsiaTheme="minorHAnsi" w:hAnsiTheme="minorHAnsi" w:cstheme="minorBidi"/>
                <w:b w:val="0"/>
                <w:iCs w:val="0"/>
              </w:rPr>
              <w:t>m of retribution as a result</w:t>
            </w:r>
            <w:r>
              <w:rPr>
                <w:rFonts w:asciiTheme="minorHAnsi" w:eastAsiaTheme="minorHAnsi" w:hAnsiTheme="minorHAnsi" w:cstheme="minorBidi"/>
                <w:b w:val="0"/>
                <w:iCs w:val="0"/>
              </w:rPr>
              <w:t>.</w:t>
            </w:r>
          </w:p>
        </w:tc>
      </w:tr>
      <w:tr w:rsidR="00121516" w:rsidRPr="0039715A" w14:paraId="3CD92076" w14:textId="77777777" w:rsidTr="00121516">
        <w:tc>
          <w:tcPr>
            <w:tcW w:w="5000" w:type="pct"/>
            <w:vAlign w:val="center"/>
          </w:tcPr>
          <w:p w14:paraId="4EDAD98F" w14:textId="77777777" w:rsidR="00121516" w:rsidRPr="0039715A" w:rsidRDefault="00121516" w:rsidP="00121516">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121516" w:rsidRPr="0039715A" w14:paraId="6EBD8E1E" w14:textId="77777777" w:rsidTr="00121516">
        <w:tc>
          <w:tcPr>
            <w:tcW w:w="5000" w:type="pct"/>
          </w:tcPr>
          <w:p w14:paraId="70BF1CB7" w14:textId="77777777" w:rsidR="00121516" w:rsidRPr="0039715A" w:rsidRDefault="00121516" w:rsidP="00121516">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121516" w:rsidRPr="0039715A" w14:paraId="5B390E82" w14:textId="77777777" w:rsidTr="00121516">
        <w:trPr>
          <w:trHeight w:val="778"/>
        </w:trPr>
        <w:tc>
          <w:tcPr>
            <w:tcW w:w="5000" w:type="pct"/>
          </w:tcPr>
          <w:p w14:paraId="7901F5A1" w14:textId="396DA56A" w:rsidR="00121516" w:rsidRPr="00121516" w:rsidRDefault="00121516" w:rsidP="00121516">
            <w:pPr>
              <w:spacing w:before="0" w:after="0"/>
              <w:ind w:left="0"/>
              <w:rPr>
                <w:rFonts w:ascii="Arial" w:eastAsia="Times New Roman" w:hAnsi="Arial" w:cs="Arial"/>
                <w:bCs/>
                <w:color w:val="auto"/>
              </w:rPr>
            </w:pPr>
            <w:r w:rsidRPr="00121516">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121516" w:rsidRPr="0039715A" w14:paraId="7537A9B4" w14:textId="77777777" w:rsidTr="00121516">
        <w:tc>
          <w:tcPr>
            <w:tcW w:w="5000" w:type="pct"/>
          </w:tcPr>
          <w:p w14:paraId="36EE7628" w14:textId="77777777" w:rsidR="00121516" w:rsidRPr="0039715A" w:rsidRDefault="00121516" w:rsidP="00121516">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121516" w:rsidRPr="0039715A" w14:paraId="1F9BF905" w14:textId="77777777" w:rsidTr="00121516">
        <w:trPr>
          <w:trHeight w:val="926"/>
        </w:trPr>
        <w:tc>
          <w:tcPr>
            <w:tcW w:w="5000" w:type="pct"/>
          </w:tcPr>
          <w:p w14:paraId="73766209" w14:textId="1CB75CCA" w:rsidR="00121516" w:rsidRPr="00121516" w:rsidRDefault="00121516" w:rsidP="00121516">
            <w:pPr>
              <w:spacing w:before="0" w:after="0"/>
              <w:ind w:left="0"/>
            </w:pPr>
            <w:r>
              <w:t xml:space="preserve">The MSE Staff Engagement </w:t>
            </w:r>
            <w:proofErr w:type="gramStart"/>
            <w:r>
              <w:t xml:space="preserve">Group </w:t>
            </w:r>
            <w:r w:rsidRPr="009A77C9">
              <w:t xml:space="preserve"> </w:t>
            </w:r>
            <w:r w:rsidRPr="00121516">
              <w:t>have</w:t>
            </w:r>
            <w:proofErr w:type="gramEnd"/>
            <w:r w:rsidRPr="00121516">
              <w:t xml:space="preserve"> been consulted</w:t>
            </w:r>
            <w:r w:rsidRPr="009A77C9">
              <w:t xml:space="preserve"> on the policy and any comments will be considered before the policy is published.</w:t>
            </w:r>
            <w:r>
              <w:t xml:space="preserve">  The policy is also based on </w:t>
            </w:r>
            <w:r w:rsidR="00D47578">
              <w:t xml:space="preserve">the national Freedom to Speak Up Policy. </w:t>
            </w:r>
            <w:r>
              <w:t>.</w:t>
            </w:r>
          </w:p>
        </w:tc>
      </w:tr>
    </w:tbl>
    <w:p w14:paraId="3DACF122" w14:textId="77777777" w:rsidR="00121516" w:rsidRPr="0039715A" w:rsidRDefault="00121516" w:rsidP="00121516">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05801DDD" w14:textId="30DF24E6" w:rsidR="00121516" w:rsidRPr="0039715A" w:rsidRDefault="00121516" w:rsidP="00CE2784">
      <w:pPr>
        <w:spacing w:before="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50F76678" w14:textId="74A00A99" w:rsidR="00121516" w:rsidRPr="0039715A" w:rsidRDefault="00121516" w:rsidP="00CE2784">
      <w:pPr>
        <w:spacing w:before="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3E22ED66" w14:textId="77777777" w:rsidR="00121516" w:rsidRPr="0039715A" w:rsidRDefault="00121516">
      <w:pPr>
        <w:numPr>
          <w:ilvl w:val="0"/>
          <w:numId w:val="18"/>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39715A">
        <w:rPr>
          <w:rFonts w:ascii="Arial" w:eastAsia="Times New Roman" w:hAnsi="Arial" w:cs="Arial"/>
          <w:i/>
          <w:color w:val="auto"/>
        </w:rPr>
        <w:t>groups</w:t>
      </w:r>
      <w:proofErr w:type="gramEnd"/>
    </w:p>
    <w:p w14:paraId="5CFA39CB" w14:textId="77777777" w:rsidR="00121516" w:rsidRPr="0039715A" w:rsidRDefault="00121516">
      <w:pPr>
        <w:numPr>
          <w:ilvl w:val="0"/>
          <w:numId w:val="18"/>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688157D" w14:textId="0AB316A7" w:rsidR="00121516" w:rsidRPr="0039715A" w:rsidRDefault="00121516">
      <w:pPr>
        <w:numPr>
          <w:ilvl w:val="0"/>
          <w:numId w:val="18"/>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 xml:space="preserve">there is no effect currently on protected </w:t>
      </w:r>
      <w:proofErr w:type="gramStart"/>
      <w:r w:rsidRPr="0039715A">
        <w:rPr>
          <w:rFonts w:ascii="Arial" w:eastAsia="Times New Roman" w:hAnsi="Arial" w:cs="Arial"/>
          <w:bCs/>
          <w:i/>
          <w:color w:val="auto"/>
        </w:rPr>
        <w:t>groups</w:t>
      </w:r>
      <w:proofErr w:type="gramEnd"/>
    </w:p>
    <w:p w14:paraId="2DAD0FBD" w14:textId="3C95E921" w:rsidR="00121516" w:rsidRDefault="00121516" w:rsidP="00121516">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375"/>
        <w:gridCol w:w="1232"/>
        <w:gridCol w:w="1234"/>
        <w:gridCol w:w="1234"/>
        <w:gridCol w:w="3390"/>
      </w:tblGrid>
      <w:tr w:rsidR="00121516" w:rsidRPr="00615058" w14:paraId="4E9BEB25" w14:textId="77777777" w:rsidTr="00121516">
        <w:trPr>
          <w:cantSplit/>
          <w:trHeight w:val="841"/>
          <w:tblHeader/>
        </w:trPr>
        <w:tc>
          <w:tcPr>
            <w:tcW w:w="125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1F7F537" w14:textId="77777777" w:rsidR="00121516" w:rsidRPr="00615058" w:rsidRDefault="00121516" w:rsidP="00121516">
            <w:pPr>
              <w:pStyle w:val="NoSpacing"/>
              <w:rPr>
                <w:color w:val="FFFFFF" w:themeColor="background1"/>
              </w:rPr>
            </w:pPr>
            <w:r w:rsidRPr="00615058">
              <w:rPr>
                <w:color w:val="FFFFFF" w:themeColor="background1"/>
              </w:rPr>
              <w:lastRenderedPageBreak/>
              <w:t>Protected</w:t>
            </w:r>
          </w:p>
          <w:p w14:paraId="30871719" w14:textId="77777777" w:rsidR="00121516" w:rsidRPr="00615058" w:rsidRDefault="00121516" w:rsidP="00121516">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98DE4EF" w14:textId="77777777" w:rsidR="00121516" w:rsidRPr="00615058" w:rsidRDefault="00121516" w:rsidP="00121516">
            <w:pPr>
              <w:pStyle w:val="NoSpacing"/>
              <w:rPr>
                <w:color w:val="FFFFFF" w:themeColor="background1"/>
              </w:rPr>
            </w:pPr>
            <w:r w:rsidRPr="00615058">
              <w:rPr>
                <w:color w:val="FFFFFF" w:themeColor="background1"/>
              </w:rPr>
              <w:t>Positive</w:t>
            </w:r>
          </w:p>
          <w:p w14:paraId="63949045" w14:textId="77777777" w:rsidR="00121516" w:rsidRPr="00615058" w:rsidRDefault="00121516" w:rsidP="00121516">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56F9309" w14:textId="77777777" w:rsidR="00121516" w:rsidRPr="00615058" w:rsidRDefault="00121516" w:rsidP="00121516">
            <w:pPr>
              <w:pStyle w:val="NoSpacing"/>
              <w:rPr>
                <w:color w:val="FFFFFF" w:themeColor="background1"/>
              </w:rPr>
            </w:pPr>
            <w:r w:rsidRPr="00615058">
              <w:rPr>
                <w:color w:val="FFFFFF" w:themeColor="background1"/>
              </w:rPr>
              <w:t>Negative</w:t>
            </w:r>
          </w:p>
          <w:p w14:paraId="3468B6A8" w14:textId="77777777" w:rsidR="00121516" w:rsidRPr="00615058" w:rsidRDefault="00121516" w:rsidP="00121516">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0342492" w14:textId="77777777" w:rsidR="00121516" w:rsidRPr="00615058" w:rsidRDefault="00121516" w:rsidP="00121516">
            <w:pPr>
              <w:pStyle w:val="NoSpacing"/>
              <w:rPr>
                <w:color w:val="FFFFFF" w:themeColor="background1"/>
              </w:rPr>
            </w:pPr>
            <w:r w:rsidRPr="00615058">
              <w:rPr>
                <w:color w:val="FFFFFF" w:themeColor="background1"/>
              </w:rPr>
              <w:t>Neutral</w:t>
            </w:r>
          </w:p>
          <w:p w14:paraId="5B6BD133" w14:textId="77777777" w:rsidR="00121516" w:rsidRPr="00615058" w:rsidRDefault="00121516" w:rsidP="00121516">
            <w:pPr>
              <w:pStyle w:val="NoSpacing"/>
              <w:rPr>
                <w:color w:val="FFFFFF" w:themeColor="background1"/>
              </w:rPr>
            </w:pPr>
            <w:r w:rsidRPr="00615058">
              <w:rPr>
                <w:color w:val="FFFFFF" w:themeColor="background1"/>
              </w:rPr>
              <w:t>outcome</w:t>
            </w:r>
          </w:p>
        </w:tc>
        <w:tc>
          <w:tcPr>
            <w:tcW w:w="179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2457B66" w14:textId="77777777" w:rsidR="00121516" w:rsidRPr="00615058" w:rsidRDefault="00121516" w:rsidP="00121516">
            <w:pPr>
              <w:pStyle w:val="NoSpacing"/>
              <w:rPr>
                <w:rFonts w:cs="Arial"/>
                <w:color w:val="FFFFFF" w:themeColor="background1"/>
              </w:rPr>
            </w:pPr>
            <w:r w:rsidRPr="00615058">
              <w:rPr>
                <w:rFonts w:cs="Arial"/>
                <w:color w:val="FFFFFF" w:themeColor="background1"/>
              </w:rPr>
              <w:t>Reason(s) for outcome</w:t>
            </w:r>
          </w:p>
        </w:tc>
      </w:tr>
      <w:tr w:rsidR="00121516" w:rsidRPr="00F26504" w14:paraId="01DE8BAA" w14:textId="77777777" w:rsidTr="00121516">
        <w:trPr>
          <w:trHeight w:val="964"/>
        </w:trPr>
        <w:tc>
          <w:tcPr>
            <w:tcW w:w="1254" w:type="pct"/>
            <w:tcBorders>
              <w:top w:val="single" w:sz="4" w:space="0" w:color="auto"/>
              <w:left w:val="single" w:sz="4" w:space="0" w:color="auto"/>
              <w:bottom w:val="single" w:sz="4" w:space="0" w:color="auto"/>
              <w:right w:val="single" w:sz="4" w:space="0" w:color="auto"/>
            </w:tcBorders>
          </w:tcPr>
          <w:p w14:paraId="4E98C448" w14:textId="77777777" w:rsidR="00121516" w:rsidRPr="00F26504" w:rsidRDefault="00121516" w:rsidP="00121516">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tcPr>
          <w:p w14:paraId="55AECFD4"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E67D168"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5FD95101"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2F05857B" w14:textId="77777777" w:rsidR="00121516" w:rsidRPr="00F26504" w:rsidRDefault="00121516" w:rsidP="00121516">
            <w:pPr>
              <w:pStyle w:val="NoSpacing"/>
            </w:pPr>
            <w:r>
              <w:t xml:space="preserve">There is a risk that staff from protected groups may be reluctant to use the policy because of fear of discrimination, </w:t>
            </w:r>
            <w:proofErr w:type="gramStart"/>
            <w:r>
              <w:t>harassment</w:t>
            </w:r>
            <w:proofErr w:type="gramEnd"/>
            <w:r>
              <w:t xml:space="preserve"> or </w:t>
            </w:r>
            <w:proofErr w:type="spellStart"/>
            <w:r>
              <w:t>victimisation</w:t>
            </w:r>
            <w:proofErr w:type="spellEnd"/>
            <w:r>
              <w:t xml:space="preserve">, however it is considered that this risk will be </w:t>
            </w:r>
            <w:proofErr w:type="spellStart"/>
            <w:r>
              <w:t>minimised</w:t>
            </w:r>
            <w:proofErr w:type="spellEnd"/>
            <w:r>
              <w:t xml:space="preserve"> by the assurances given in the policy that </w:t>
            </w:r>
            <w:r w:rsidRPr="00870DDB">
              <w:t>employees will</w:t>
            </w:r>
            <w:r>
              <w:t xml:space="preserve"> not</w:t>
            </w:r>
            <w:r w:rsidRPr="00870DDB">
              <w:t xml:space="preserve"> be </w:t>
            </w:r>
            <w:proofErr w:type="spellStart"/>
            <w:r w:rsidRPr="00870DDB">
              <w:t>penalised</w:t>
            </w:r>
            <w:proofErr w:type="spellEnd"/>
            <w:r w:rsidRPr="00870DDB">
              <w:t xml:space="preserve"> for </w:t>
            </w:r>
            <w:r>
              <w:t>raising honest concerns and by the regular monitoring of cases.</w:t>
            </w:r>
          </w:p>
        </w:tc>
      </w:tr>
      <w:tr w:rsidR="00121516" w:rsidRPr="00F26504" w14:paraId="20216EE8" w14:textId="77777777" w:rsidTr="004E4D8C">
        <w:trPr>
          <w:trHeight w:val="800"/>
        </w:trPr>
        <w:tc>
          <w:tcPr>
            <w:tcW w:w="1254" w:type="pct"/>
            <w:tcBorders>
              <w:top w:val="single" w:sz="4" w:space="0" w:color="auto"/>
              <w:left w:val="single" w:sz="4" w:space="0" w:color="auto"/>
              <w:bottom w:val="single" w:sz="4" w:space="0" w:color="auto"/>
              <w:right w:val="single" w:sz="4" w:space="0" w:color="auto"/>
            </w:tcBorders>
          </w:tcPr>
          <w:p w14:paraId="51A0B347" w14:textId="77777777" w:rsidR="00121516" w:rsidRDefault="00121516" w:rsidP="00121516">
            <w:pPr>
              <w:pStyle w:val="NoSpacing"/>
            </w:pPr>
            <w:r w:rsidRPr="00F26504">
              <w:t>Disability</w:t>
            </w:r>
          </w:p>
          <w:p w14:paraId="1D0A7F51" w14:textId="77777777" w:rsidR="00121516" w:rsidRPr="00F26504" w:rsidRDefault="00121516" w:rsidP="00121516">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tcPr>
          <w:p w14:paraId="36C30CB6"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73CB6420"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5CCD20CD"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44703802" w14:textId="77777777" w:rsidR="00121516" w:rsidRPr="00F26504" w:rsidRDefault="00121516" w:rsidP="00121516">
            <w:pPr>
              <w:pStyle w:val="NoSpacing"/>
            </w:pPr>
            <w:r>
              <w:t>As above</w:t>
            </w:r>
          </w:p>
        </w:tc>
      </w:tr>
      <w:tr w:rsidR="00121516" w:rsidRPr="00F26504" w14:paraId="57525420" w14:textId="77777777" w:rsidTr="004E4D8C">
        <w:trPr>
          <w:trHeight w:val="261"/>
        </w:trPr>
        <w:tc>
          <w:tcPr>
            <w:tcW w:w="1254" w:type="pct"/>
            <w:tcBorders>
              <w:top w:val="single" w:sz="4" w:space="0" w:color="auto"/>
              <w:left w:val="single" w:sz="4" w:space="0" w:color="auto"/>
              <w:bottom w:val="single" w:sz="4" w:space="0" w:color="auto"/>
              <w:right w:val="single" w:sz="4" w:space="0" w:color="auto"/>
            </w:tcBorders>
          </w:tcPr>
          <w:p w14:paraId="3DA88D61" w14:textId="77777777" w:rsidR="00121516" w:rsidRPr="00F26504" w:rsidRDefault="00121516" w:rsidP="00121516">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tcPr>
          <w:p w14:paraId="06448694"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DEB820F"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1EE925F5"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7161FDCB" w14:textId="77777777" w:rsidR="00121516" w:rsidRPr="00F26504" w:rsidRDefault="00121516" w:rsidP="00121516">
            <w:pPr>
              <w:pStyle w:val="NoSpacing"/>
            </w:pPr>
            <w:r>
              <w:t>As above</w:t>
            </w:r>
          </w:p>
        </w:tc>
      </w:tr>
      <w:tr w:rsidR="00121516" w:rsidRPr="00F26504" w14:paraId="143D8248" w14:textId="77777777" w:rsidTr="004E4D8C">
        <w:trPr>
          <w:trHeight w:val="275"/>
        </w:trPr>
        <w:tc>
          <w:tcPr>
            <w:tcW w:w="1254" w:type="pct"/>
            <w:tcBorders>
              <w:top w:val="single" w:sz="4" w:space="0" w:color="auto"/>
              <w:left w:val="single" w:sz="4" w:space="0" w:color="auto"/>
              <w:bottom w:val="single" w:sz="4" w:space="0" w:color="auto"/>
              <w:right w:val="single" w:sz="4" w:space="0" w:color="auto"/>
            </w:tcBorders>
          </w:tcPr>
          <w:p w14:paraId="0C722160" w14:textId="77777777" w:rsidR="00121516" w:rsidRPr="00F26504" w:rsidRDefault="00121516" w:rsidP="00121516">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tcPr>
          <w:p w14:paraId="117719DF"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1284A1E"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1B02D07"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7EBC2DFF" w14:textId="77777777" w:rsidR="00121516" w:rsidRPr="00F26504" w:rsidRDefault="00121516" w:rsidP="00121516">
            <w:pPr>
              <w:pStyle w:val="NoSpacing"/>
            </w:pPr>
            <w:r>
              <w:t>As above</w:t>
            </w:r>
          </w:p>
        </w:tc>
      </w:tr>
      <w:tr w:rsidR="00121516" w:rsidRPr="00F26504" w14:paraId="40F49045" w14:textId="77777777" w:rsidTr="004E4D8C">
        <w:trPr>
          <w:trHeight w:val="444"/>
        </w:trPr>
        <w:tc>
          <w:tcPr>
            <w:tcW w:w="1254" w:type="pct"/>
            <w:tcBorders>
              <w:top w:val="single" w:sz="4" w:space="0" w:color="auto"/>
              <w:left w:val="single" w:sz="4" w:space="0" w:color="auto"/>
              <w:bottom w:val="single" w:sz="4" w:space="0" w:color="auto"/>
              <w:right w:val="single" w:sz="4" w:space="0" w:color="auto"/>
            </w:tcBorders>
          </w:tcPr>
          <w:p w14:paraId="16BBB457" w14:textId="77777777" w:rsidR="00121516" w:rsidRPr="00F26504" w:rsidRDefault="00121516" w:rsidP="00121516">
            <w:pPr>
              <w:pStyle w:val="NoSpacing"/>
            </w:pPr>
            <w:r w:rsidRPr="00F26504">
              <w:t xml:space="preserve">Sexual </w:t>
            </w:r>
          </w:p>
          <w:p w14:paraId="3A021937" w14:textId="77777777" w:rsidR="00121516" w:rsidRPr="00F26504" w:rsidRDefault="00121516" w:rsidP="00121516">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tcPr>
          <w:p w14:paraId="7D8E21E0"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50B698D7"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81263B9"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44886E19" w14:textId="77777777" w:rsidR="00121516" w:rsidRPr="00F26504" w:rsidRDefault="00121516" w:rsidP="00121516">
            <w:pPr>
              <w:pStyle w:val="NoSpacing"/>
            </w:pPr>
            <w:r>
              <w:t>As above</w:t>
            </w:r>
          </w:p>
        </w:tc>
      </w:tr>
      <w:tr w:rsidR="00121516" w:rsidRPr="00F26504" w14:paraId="17FB896C" w14:textId="77777777" w:rsidTr="004E4D8C">
        <w:trPr>
          <w:trHeight w:val="458"/>
        </w:trPr>
        <w:tc>
          <w:tcPr>
            <w:tcW w:w="1254" w:type="pct"/>
            <w:tcBorders>
              <w:top w:val="single" w:sz="4" w:space="0" w:color="auto"/>
              <w:left w:val="single" w:sz="4" w:space="0" w:color="auto"/>
              <w:bottom w:val="single" w:sz="4" w:space="0" w:color="auto"/>
              <w:right w:val="single" w:sz="4" w:space="0" w:color="auto"/>
            </w:tcBorders>
          </w:tcPr>
          <w:p w14:paraId="014F8315" w14:textId="77777777" w:rsidR="00121516" w:rsidRPr="00F26504" w:rsidRDefault="00121516" w:rsidP="00121516">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tcPr>
          <w:p w14:paraId="62647233"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427E09DC"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784D2179"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420A1605" w14:textId="77777777" w:rsidR="00121516" w:rsidRPr="00F26504" w:rsidRDefault="00121516" w:rsidP="00121516">
            <w:pPr>
              <w:pStyle w:val="NoSpacing"/>
            </w:pPr>
            <w:r>
              <w:t>As above</w:t>
            </w:r>
          </w:p>
        </w:tc>
      </w:tr>
      <w:tr w:rsidR="00121516" w:rsidRPr="00F26504" w14:paraId="1C0B8E17" w14:textId="77777777" w:rsidTr="004E4D8C">
        <w:trPr>
          <w:trHeight w:val="331"/>
        </w:trPr>
        <w:tc>
          <w:tcPr>
            <w:tcW w:w="1254" w:type="pct"/>
            <w:tcBorders>
              <w:top w:val="single" w:sz="4" w:space="0" w:color="auto"/>
              <w:left w:val="single" w:sz="4" w:space="0" w:color="auto"/>
              <w:bottom w:val="single" w:sz="4" w:space="0" w:color="auto"/>
              <w:right w:val="single" w:sz="4" w:space="0" w:color="auto"/>
            </w:tcBorders>
          </w:tcPr>
          <w:p w14:paraId="27D3B247" w14:textId="77777777" w:rsidR="00121516" w:rsidRPr="00F26504" w:rsidRDefault="00121516" w:rsidP="00121516">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tcPr>
          <w:p w14:paraId="7F6B108D"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4966EB5B"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C5FDEE6"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54F6D30D" w14:textId="77777777" w:rsidR="00121516" w:rsidRPr="00F26504" w:rsidRDefault="00121516" w:rsidP="00121516">
            <w:pPr>
              <w:pStyle w:val="NoSpacing"/>
            </w:pPr>
            <w:r>
              <w:t>As above</w:t>
            </w:r>
          </w:p>
        </w:tc>
      </w:tr>
      <w:tr w:rsidR="00121516" w:rsidRPr="00F26504" w14:paraId="71C9046B" w14:textId="77777777" w:rsidTr="00121516">
        <w:trPr>
          <w:trHeight w:val="964"/>
        </w:trPr>
        <w:tc>
          <w:tcPr>
            <w:tcW w:w="1254" w:type="pct"/>
            <w:tcBorders>
              <w:top w:val="single" w:sz="4" w:space="0" w:color="auto"/>
              <w:left w:val="single" w:sz="4" w:space="0" w:color="auto"/>
              <w:bottom w:val="single" w:sz="4" w:space="0" w:color="auto"/>
              <w:right w:val="single" w:sz="4" w:space="0" w:color="auto"/>
            </w:tcBorders>
          </w:tcPr>
          <w:p w14:paraId="0256BF35" w14:textId="77777777" w:rsidR="00121516" w:rsidRPr="00B83883" w:rsidRDefault="00121516" w:rsidP="00121516">
            <w:pPr>
              <w:pStyle w:val="NoSpacing"/>
            </w:pPr>
            <w:r w:rsidRPr="00B83883">
              <w:t>Pregnancy and maternity (including breastfeeding mothers)</w:t>
            </w:r>
          </w:p>
        </w:tc>
        <w:tc>
          <w:tcPr>
            <w:tcW w:w="651" w:type="pct"/>
            <w:tcBorders>
              <w:top w:val="single" w:sz="4" w:space="0" w:color="auto"/>
              <w:left w:val="single" w:sz="4" w:space="0" w:color="auto"/>
              <w:bottom w:val="single" w:sz="4" w:space="0" w:color="auto"/>
              <w:right w:val="single" w:sz="4" w:space="0" w:color="auto"/>
            </w:tcBorders>
          </w:tcPr>
          <w:p w14:paraId="54F2063B"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63E5E531"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5967EE4"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798EAE7E" w14:textId="77777777" w:rsidR="00121516" w:rsidRPr="00F26504" w:rsidRDefault="00121516" w:rsidP="00121516">
            <w:pPr>
              <w:pStyle w:val="NoSpacing"/>
            </w:pPr>
            <w:r>
              <w:t>As above</w:t>
            </w:r>
          </w:p>
        </w:tc>
      </w:tr>
      <w:tr w:rsidR="00121516" w:rsidRPr="00F26504" w14:paraId="50A5C84F" w14:textId="77777777" w:rsidTr="004E4D8C">
        <w:trPr>
          <w:trHeight w:val="458"/>
        </w:trPr>
        <w:tc>
          <w:tcPr>
            <w:tcW w:w="1254" w:type="pct"/>
            <w:tcBorders>
              <w:top w:val="single" w:sz="4" w:space="0" w:color="auto"/>
              <w:left w:val="single" w:sz="4" w:space="0" w:color="auto"/>
              <w:bottom w:val="single" w:sz="4" w:space="0" w:color="auto"/>
              <w:right w:val="single" w:sz="4" w:space="0" w:color="auto"/>
            </w:tcBorders>
          </w:tcPr>
          <w:p w14:paraId="47BB6565" w14:textId="77777777" w:rsidR="00121516" w:rsidRPr="00B83883" w:rsidRDefault="00121516" w:rsidP="00121516">
            <w:pPr>
              <w:pStyle w:val="NoSpacing"/>
            </w:pPr>
            <w:r w:rsidRPr="00B83883">
              <w:t>Marriage or Civil Partnership</w:t>
            </w:r>
          </w:p>
        </w:tc>
        <w:tc>
          <w:tcPr>
            <w:tcW w:w="651" w:type="pct"/>
            <w:tcBorders>
              <w:top w:val="single" w:sz="4" w:space="0" w:color="auto"/>
              <w:left w:val="single" w:sz="4" w:space="0" w:color="auto"/>
              <w:bottom w:val="single" w:sz="4" w:space="0" w:color="auto"/>
              <w:right w:val="single" w:sz="4" w:space="0" w:color="auto"/>
            </w:tcBorders>
          </w:tcPr>
          <w:p w14:paraId="7B2DBC83"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24A5F237" w14:textId="77777777" w:rsidR="00121516" w:rsidRPr="00F26504" w:rsidRDefault="00121516" w:rsidP="00121516">
            <w:pPr>
              <w:pStyle w:val="NoSpacing"/>
            </w:pPr>
          </w:p>
        </w:tc>
        <w:tc>
          <w:tcPr>
            <w:tcW w:w="652" w:type="pct"/>
            <w:tcBorders>
              <w:top w:val="single" w:sz="4" w:space="0" w:color="auto"/>
              <w:left w:val="single" w:sz="4" w:space="0" w:color="auto"/>
              <w:bottom w:val="single" w:sz="4" w:space="0" w:color="auto"/>
              <w:right w:val="single" w:sz="4" w:space="0" w:color="auto"/>
            </w:tcBorders>
          </w:tcPr>
          <w:p w14:paraId="0D49EEF1" w14:textId="77777777" w:rsidR="00121516" w:rsidRPr="00F26504" w:rsidRDefault="00121516" w:rsidP="00121516">
            <w:pPr>
              <w:pStyle w:val="NoSpacing"/>
            </w:pPr>
            <w:r>
              <w:t>X</w:t>
            </w:r>
          </w:p>
        </w:tc>
        <w:tc>
          <w:tcPr>
            <w:tcW w:w="1791" w:type="pct"/>
            <w:tcBorders>
              <w:top w:val="single" w:sz="4" w:space="0" w:color="auto"/>
              <w:left w:val="single" w:sz="4" w:space="0" w:color="auto"/>
              <w:bottom w:val="single" w:sz="4" w:space="0" w:color="auto"/>
              <w:right w:val="single" w:sz="4" w:space="0" w:color="auto"/>
            </w:tcBorders>
          </w:tcPr>
          <w:p w14:paraId="6860478D" w14:textId="77777777" w:rsidR="00121516" w:rsidRPr="00F26504" w:rsidRDefault="00121516" w:rsidP="00121516">
            <w:pPr>
              <w:pStyle w:val="NoSpacing"/>
            </w:pPr>
            <w:r>
              <w:t>As above</w:t>
            </w:r>
          </w:p>
        </w:tc>
      </w:tr>
    </w:tbl>
    <w:p w14:paraId="00596D6F" w14:textId="77777777" w:rsidR="00121516" w:rsidRPr="0039715A" w:rsidRDefault="00121516" w:rsidP="00121516">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121516" w:rsidRPr="0039715A" w14:paraId="6CF8ED77" w14:textId="77777777" w:rsidTr="00121516">
        <w:trPr>
          <w:trHeight w:val="269"/>
        </w:trPr>
        <w:tc>
          <w:tcPr>
            <w:tcW w:w="5000" w:type="pct"/>
            <w:tcBorders>
              <w:top w:val="single" w:sz="4" w:space="0" w:color="auto"/>
              <w:left w:val="single" w:sz="4" w:space="0" w:color="auto"/>
              <w:right w:val="single" w:sz="4" w:space="0" w:color="auto"/>
            </w:tcBorders>
          </w:tcPr>
          <w:p w14:paraId="01C7E716" w14:textId="77777777" w:rsidR="00121516" w:rsidRPr="0039715A" w:rsidRDefault="00121516" w:rsidP="00121516">
            <w:pPr>
              <w:spacing w:before="0" w:after="0"/>
              <w:ind w:left="0"/>
              <w:rPr>
                <w:rFonts w:asciiTheme="majorHAnsi" w:eastAsia="Times New Roman" w:hAnsiTheme="majorHAnsi" w:cstheme="majorBidi"/>
                <w:b/>
                <w:bCs/>
              </w:rPr>
            </w:pPr>
            <w:r w:rsidRPr="0039715A">
              <w:rPr>
                <w:b/>
                <w:bCs/>
              </w:rPr>
              <w:t>MONITORING OUTCOMES</w:t>
            </w:r>
          </w:p>
        </w:tc>
      </w:tr>
      <w:tr w:rsidR="00121516" w:rsidRPr="0039715A" w14:paraId="2F0F3CF3" w14:textId="77777777" w:rsidTr="00121516">
        <w:trPr>
          <w:trHeight w:val="416"/>
        </w:trPr>
        <w:tc>
          <w:tcPr>
            <w:tcW w:w="5000" w:type="pct"/>
            <w:tcBorders>
              <w:top w:val="single" w:sz="4" w:space="0" w:color="auto"/>
              <w:left w:val="single" w:sz="4" w:space="0" w:color="auto"/>
              <w:right w:val="single" w:sz="4" w:space="0" w:color="auto"/>
            </w:tcBorders>
          </w:tcPr>
          <w:p w14:paraId="24BAD878" w14:textId="77777777" w:rsidR="00121516" w:rsidRPr="0039715A" w:rsidRDefault="00121516" w:rsidP="00121516">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121516" w:rsidRPr="0039715A" w14:paraId="41514C15" w14:textId="77777777" w:rsidTr="00121516">
        <w:trPr>
          <w:trHeight w:val="416"/>
        </w:trPr>
        <w:tc>
          <w:tcPr>
            <w:tcW w:w="5000" w:type="pct"/>
            <w:tcBorders>
              <w:top w:val="single" w:sz="4" w:space="0" w:color="auto"/>
              <w:left w:val="single" w:sz="4" w:space="0" w:color="auto"/>
              <w:right w:val="single" w:sz="4" w:space="0" w:color="auto"/>
            </w:tcBorders>
          </w:tcPr>
          <w:p w14:paraId="76A20972"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121516" w:rsidRPr="0039715A" w14:paraId="323B133E" w14:textId="77777777" w:rsidTr="00121516">
        <w:trPr>
          <w:trHeight w:val="983"/>
        </w:trPr>
        <w:tc>
          <w:tcPr>
            <w:tcW w:w="5000" w:type="pct"/>
            <w:tcBorders>
              <w:top w:val="single" w:sz="4" w:space="0" w:color="auto"/>
              <w:left w:val="single" w:sz="4" w:space="0" w:color="auto"/>
              <w:right w:val="single" w:sz="4" w:space="0" w:color="auto"/>
            </w:tcBorders>
          </w:tcPr>
          <w:p w14:paraId="5B2F0280" w14:textId="77777777" w:rsidR="00121516" w:rsidRDefault="00121516" w:rsidP="00121516">
            <w:pPr>
              <w:spacing w:before="0" w:after="0"/>
              <w:ind w:left="0"/>
              <w:rPr>
                <w:rFonts w:ascii="Arial" w:eastAsia="Times New Roman" w:hAnsi="Arial" w:cs="Arial"/>
                <w:bCs/>
                <w:color w:val="auto"/>
              </w:rPr>
            </w:pPr>
            <w:r w:rsidRPr="00121516">
              <w:rPr>
                <w:rFonts w:ascii="Arial" w:eastAsia="Times New Roman" w:hAnsi="Arial" w:cs="Arial"/>
                <w:bCs/>
                <w:color w:val="auto"/>
              </w:rPr>
              <w:t>An anonymised summary of whistleblowing cases reported to the National Guardian’s Office will be produced quarterly by the FTSU Guardian.  Where possible, the summary will identify if the case relates to member/s of a protected group and will identify any lessons learned in this respect.</w:t>
            </w:r>
          </w:p>
          <w:p w14:paraId="03210055" w14:textId="77777777" w:rsidR="00121516" w:rsidRDefault="00121516" w:rsidP="00121516">
            <w:pPr>
              <w:spacing w:before="0" w:after="0"/>
              <w:ind w:left="0"/>
              <w:rPr>
                <w:rFonts w:ascii="Arial" w:eastAsia="Times New Roman" w:hAnsi="Arial" w:cs="Arial"/>
                <w:bCs/>
                <w:color w:val="auto"/>
              </w:rPr>
            </w:pPr>
          </w:p>
          <w:p w14:paraId="4F23FA03" w14:textId="39539356" w:rsidR="00121516" w:rsidRPr="00121516" w:rsidRDefault="00121516" w:rsidP="00121516">
            <w:pPr>
              <w:pStyle w:val="Heading4"/>
              <w:spacing w:before="0" w:after="0"/>
              <w:rPr>
                <w:rFonts w:asciiTheme="minorHAnsi" w:eastAsiaTheme="minorHAnsi" w:hAnsiTheme="minorHAnsi" w:cstheme="minorBidi"/>
                <w:b w:val="0"/>
                <w:iCs w:val="0"/>
              </w:rPr>
            </w:pPr>
            <w:r w:rsidRPr="009A77C9">
              <w:rPr>
                <w:rFonts w:asciiTheme="minorHAnsi" w:eastAsiaTheme="minorHAnsi" w:hAnsiTheme="minorHAnsi" w:cstheme="minorBidi"/>
                <w:b w:val="0"/>
                <w:iCs w:val="0"/>
              </w:rPr>
              <w:t xml:space="preserve">It is </w:t>
            </w:r>
            <w:r>
              <w:rPr>
                <w:rFonts w:asciiTheme="minorHAnsi" w:eastAsiaTheme="minorHAnsi" w:hAnsiTheme="minorHAnsi" w:cstheme="minorBidi"/>
                <w:b w:val="0"/>
                <w:iCs w:val="0"/>
              </w:rPr>
              <w:t xml:space="preserve">also </w:t>
            </w:r>
            <w:r w:rsidRPr="009A77C9">
              <w:rPr>
                <w:rFonts w:asciiTheme="minorHAnsi" w:eastAsiaTheme="minorHAnsi" w:hAnsiTheme="minorHAnsi" w:cstheme="minorBidi"/>
                <w:b w:val="0"/>
                <w:iCs w:val="0"/>
              </w:rPr>
              <w:t xml:space="preserve">expected that </w:t>
            </w:r>
            <w:r>
              <w:rPr>
                <w:rFonts w:asciiTheme="minorHAnsi" w:eastAsiaTheme="minorHAnsi" w:hAnsiTheme="minorHAnsi" w:cstheme="minorBidi"/>
                <w:b w:val="0"/>
                <w:iCs w:val="0"/>
              </w:rPr>
              <w:t xml:space="preserve">any impact on staff members from protected groups will be identified </w:t>
            </w:r>
            <w:r w:rsidRPr="009A77C9">
              <w:rPr>
                <w:rFonts w:asciiTheme="minorHAnsi" w:eastAsiaTheme="minorHAnsi" w:hAnsiTheme="minorHAnsi" w:cstheme="minorBidi"/>
                <w:b w:val="0"/>
                <w:iCs w:val="0"/>
              </w:rPr>
              <w:t>as a result of staff exercising their right to r</w:t>
            </w:r>
            <w:r>
              <w:rPr>
                <w:rFonts w:asciiTheme="minorHAnsi" w:eastAsiaTheme="minorHAnsi" w:hAnsiTheme="minorHAnsi" w:cstheme="minorBidi"/>
                <w:b w:val="0"/>
                <w:iCs w:val="0"/>
              </w:rPr>
              <w:t xml:space="preserve">aise a grievance in accordance with the ICB’s </w:t>
            </w:r>
            <w:r w:rsidRPr="007B7EBC">
              <w:rPr>
                <w:rFonts w:asciiTheme="minorHAnsi" w:eastAsiaTheme="minorHAnsi" w:hAnsiTheme="minorHAnsi" w:cstheme="minorBidi"/>
                <w:b w:val="0"/>
                <w:iCs w:val="0"/>
              </w:rPr>
              <w:t>Grievance Procedure</w:t>
            </w:r>
            <w:r>
              <w:rPr>
                <w:rFonts w:asciiTheme="minorHAnsi" w:eastAsiaTheme="minorHAnsi" w:hAnsiTheme="minorHAnsi" w:cstheme="minorBidi"/>
                <w:b w:val="0"/>
                <w:iCs w:val="0"/>
              </w:rPr>
              <w:t xml:space="preserve"> and that any implications will be addressed by local HR action, including proposing amendments to this policy.</w:t>
            </w:r>
          </w:p>
        </w:tc>
      </w:tr>
    </w:tbl>
    <w:p w14:paraId="1F5DF64F" w14:textId="77777777" w:rsidR="00121516" w:rsidRPr="0039715A" w:rsidRDefault="00121516" w:rsidP="00121516">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5"/>
      </w:tblGrid>
      <w:tr w:rsidR="00121516" w:rsidRPr="0039715A" w14:paraId="2527E69E" w14:textId="77777777" w:rsidTr="00121516">
        <w:tc>
          <w:tcPr>
            <w:tcW w:w="5000" w:type="pct"/>
            <w:tcBorders>
              <w:left w:val="single" w:sz="4" w:space="0" w:color="auto"/>
              <w:right w:val="single" w:sz="4" w:space="0" w:color="auto"/>
            </w:tcBorders>
          </w:tcPr>
          <w:p w14:paraId="72BF04CB" w14:textId="77777777" w:rsidR="00121516" w:rsidRPr="0039715A" w:rsidRDefault="00121516" w:rsidP="00121516">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121516" w:rsidRPr="0039715A" w14:paraId="1E4199F0" w14:textId="77777777" w:rsidTr="00121516">
        <w:tc>
          <w:tcPr>
            <w:tcW w:w="5000" w:type="pct"/>
            <w:tcBorders>
              <w:left w:val="single" w:sz="4" w:space="0" w:color="auto"/>
              <w:right w:val="single" w:sz="4" w:space="0" w:color="auto"/>
            </w:tcBorders>
          </w:tcPr>
          <w:p w14:paraId="06C71371"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121516" w:rsidRPr="0039715A" w14:paraId="0EC7C8EE" w14:textId="77777777" w:rsidTr="00121516">
        <w:trPr>
          <w:trHeight w:val="687"/>
        </w:trPr>
        <w:tc>
          <w:tcPr>
            <w:tcW w:w="5000" w:type="pct"/>
            <w:tcBorders>
              <w:left w:val="single" w:sz="4" w:space="0" w:color="auto"/>
              <w:right w:val="single" w:sz="4" w:space="0" w:color="auto"/>
            </w:tcBorders>
          </w:tcPr>
          <w:p w14:paraId="55BB5564" w14:textId="66005A73" w:rsidR="00121516" w:rsidRPr="006A1F33" w:rsidRDefault="00A23AA4" w:rsidP="00121516">
            <w:pPr>
              <w:spacing w:before="0" w:after="0"/>
              <w:ind w:left="0"/>
              <w:rPr>
                <w:rFonts w:ascii="Arial" w:eastAsia="Times New Roman" w:hAnsi="Arial" w:cs="Arial"/>
                <w:bCs/>
                <w:color w:val="auto"/>
              </w:rPr>
            </w:pPr>
            <w:r w:rsidRPr="006A1F33">
              <w:rPr>
                <w:rFonts w:ascii="Arial" w:eastAsia="Times New Roman" w:hAnsi="Arial" w:cs="Arial"/>
                <w:bCs/>
                <w:color w:val="auto"/>
              </w:rPr>
              <w:lastRenderedPageBreak/>
              <w:t xml:space="preserve">Annually </w:t>
            </w:r>
            <w:r w:rsidR="00121516" w:rsidRPr="006A1F33">
              <w:rPr>
                <w:rFonts w:ascii="Arial" w:eastAsia="Times New Roman" w:hAnsi="Arial" w:cs="Arial"/>
                <w:bCs/>
                <w:color w:val="auto"/>
              </w:rPr>
              <w:t>or earlier in the event of any relevant changes in legislation, national or local policy/guidance, organisational change or other circumstances which mean the policy needs to be reviewed.</w:t>
            </w:r>
            <w:r w:rsidR="00213C51" w:rsidRPr="006A1F33">
              <w:rPr>
                <w:rFonts w:ascii="Arial" w:eastAsia="Times New Roman" w:hAnsi="Arial" w:cs="Arial"/>
                <w:bCs/>
                <w:color w:val="auto"/>
              </w:rPr>
              <w:t xml:space="preserve">  Frequency of review might be </w:t>
            </w:r>
            <w:r w:rsidR="00C84931" w:rsidRPr="006A1F33">
              <w:rPr>
                <w:rFonts w:ascii="Arial" w:eastAsia="Times New Roman" w:hAnsi="Arial" w:cs="Arial"/>
                <w:bCs/>
                <w:color w:val="auto"/>
              </w:rPr>
              <w:t>reduced</w:t>
            </w:r>
            <w:r w:rsidR="00213C51" w:rsidRPr="006A1F33">
              <w:rPr>
                <w:rFonts w:ascii="Arial" w:eastAsia="Times New Roman" w:hAnsi="Arial" w:cs="Arial"/>
                <w:bCs/>
                <w:color w:val="auto"/>
              </w:rPr>
              <w:t xml:space="preserve"> once </w:t>
            </w:r>
            <w:r w:rsidR="008B0C55" w:rsidRPr="006A1F33">
              <w:rPr>
                <w:rFonts w:ascii="Arial" w:eastAsia="Times New Roman" w:hAnsi="Arial" w:cs="Arial"/>
                <w:bCs/>
                <w:color w:val="auto"/>
              </w:rPr>
              <w:t xml:space="preserve">new FTSU arrangements are </w:t>
            </w:r>
            <w:r w:rsidR="00213C51" w:rsidRPr="006A1F33">
              <w:rPr>
                <w:rFonts w:ascii="Arial" w:eastAsia="Times New Roman" w:hAnsi="Arial" w:cs="Arial"/>
                <w:bCs/>
                <w:color w:val="auto"/>
              </w:rPr>
              <w:t>embedded.</w:t>
            </w:r>
          </w:p>
        </w:tc>
      </w:tr>
      <w:tr w:rsidR="00121516" w:rsidRPr="0039715A" w14:paraId="7A2324B8" w14:textId="77777777" w:rsidTr="00121516">
        <w:tc>
          <w:tcPr>
            <w:tcW w:w="5000" w:type="pct"/>
            <w:tcBorders>
              <w:left w:val="single" w:sz="4" w:space="0" w:color="auto"/>
              <w:right w:val="single" w:sz="4" w:space="0" w:color="auto"/>
            </w:tcBorders>
          </w:tcPr>
          <w:p w14:paraId="2173FFA5" w14:textId="77777777" w:rsidR="00121516" w:rsidRPr="0039715A" w:rsidRDefault="00121516" w:rsidP="00121516">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121516" w:rsidRPr="0039715A" w14:paraId="31DA8855" w14:textId="77777777" w:rsidTr="00121516">
        <w:trPr>
          <w:trHeight w:val="275"/>
        </w:trPr>
        <w:tc>
          <w:tcPr>
            <w:tcW w:w="5000" w:type="pct"/>
            <w:tcBorders>
              <w:left w:val="single" w:sz="4" w:space="0" w:color="auto"/>
              <w:right w:val="single" w:sz="4" w:space="0" w:color="auto"/>
            </w:tcBorders>
          </w:tcPr>
          <w:p w14:paraId="3144A77F" w14:textId="77777777" w:rsidR="00121516" w:rsidRPr="0039715A" w:rsidRDefault="00121516" w:rsidP="00121516">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72"/>
    </w:tbl>
    <w:p w14:paraId="03CF05AB" w14:textId="77777777" w:rsidR="00C31806" w:rsidRDefault="00C31806">
      <w:pPr>
        <w:spacing w:before="0" w:after="0"/>
        <w:ind w:left="0"/>
        <w:rPr>
          <w:rFonts w:asciiTheme="majorHAnsi" w:eastAsiaTheme="majorEastAsia" w:hAnsiTheme="majorHAnsi" w:cstheme="majorBidi"/>
          <w:b/>
          <w:color w:val="005EB8" w:themeColor="accent2"/>
          <w:sz w:val="32"/>
          <w:szCs w:val="26"/>
        </w:rPr>
      </w:pPr>
      <w:r>
        <w:br w:type="page"/>
      </w:r>
    </w:p>
    <w:p w14:paraId="18F584B9" w14:textId="77777777" w:rsidR="0037055C" w:rsidRDefault="00D9038F" w:rsidP="00D7524B">
      <w:pPr>
        <w:pStyle w:val="Heading2"/>
        <w:numPr>
          <w:ilvl w:val="0"/>
          <w:numId w:val="0"/>
        </w:numPr>
      </w:pPr>
      <w:bookmarkStart w:id="73" w:name="_Toc152597560"/>
      <w:r w:rsidRPr="006606C1">
        <w:lastRenderedPageBreak/>
        <w:t>Appendix</w:t>
      </w:r>
      <w:r>
        <w:t xml:space="preserve"> </w:t>
      </w:r>
      <w:r w:rsidR="00182901">
        <w:t>B</w:t>
      </w:r>
      <w:r>
        <w:t xml:space="preserve"> </w:t>
      </w:r>
      <w:bookmarkStart w:id="74" w:name="_Toc89326563"/>
      <w:r w:rsidR="00706434">
        <w:t>–</w:t>
      </w:r>
      <w:r w:rsidR="003A663C">
        <w:t xml:space="preserve"> </w:t>
      </w:r>
      <w:r w:rsidR="0037055C">
        <w:t>P</w:t>
      </w:r>
      <w:r w:rsidR="0037055C" w:rsidRPr="0037055C">
        <w:t xml:space="preserve">rocess for raising and escalating a </w:t>
      </w:r>
      <w:proofErr w:type="gramStart"/>
      <w:r w:rsidR="0037055C" w:rsidRPr="0037055C">
        <w:t>concern</w:t>
      </w:r>
      <w:bookmarkEnd w:id="73"/>
      <w:proofErr w:type="gramEnd"/>
      <w:r w:rsidR="0037055C" w:rsidRPr="0037055C">
        <w:t xml:space="preserve"> </w:t>
      </w:r>
    </w:p>
    <w:bookmarkEnd w:id="74"/>
    <w:p w14:paraId="78A09F52" w14:textId="77777777" w:rsidR="00C07658" w:rsidRPr="00C07658" w:rsidRDefault="00C07658" w:rsidP="00C07658">
      <w:pPr>
        <w:ind w:left="0"/>
        <w:rPr>
          <w:b/>
          <w:bCs/>
        </w:rPr>
      </w:pPr>
      <w:r w:rsidRPr="00C07658">
        <w:rPr>
          <w:b/>
          <w:bCs/>
        </w:rPr>
        <w:t xml:space="preserve">Step one </w:t>
      </w:r>
    </w:p>
    <w:p w14:paraId="1D70E3C9" w14:textId="653E36EE" w:rsidR="00C07658" w:rsidRPr="00C07658" w:rsidRDefault="00C07658" w:rsidP="00C07658">
      <w:pPr>
        <w:ind w:left="0"/>
      </w:pPr>
      <w:r w:rsidRPr="00C07658">
        <w:t xml:space="preserve">If you have a concern about a risk, </w:t>
      </w:r>
      <w:r w:rsidR="00CD52D6" w:rsidRPr="00C07658">
        <w:t>malpractice,</w:t>
      </w:r>
      <w:r w:rsidRPr="00C07658">
        <w:t xml:space="preserve"> or wrongdoing at work, we hope you will feel able to raise it first with your line manager. This may be done orally or in writing. </w:t>
      </w:r>
    </w:p>
    <w:p w14:paraId="0EDF5E1B" w14:textId="77777777" w:rsidR="00C07658" w:rsidRPr="00C07658" w:rsidRDefault="00C07658" w:rsidP="00C07658">
      <w:pPr>
        <w:ind w:left="0"/>
        <w:rPr>
          <w:b/>
          <w:bCs/>
        </w:rPr>
      </w:pPr>
      <w:r w:rsidRPr="00C07658">
        <w:rPr>
          <w:b/>
          <w:bCs/>
        </w:rPr>
        <w:t xml:space="preserve">Step two </w:t>
      </w:r>
    </w:p>
    <w:p w14:paraId="1158C2DC" w14:textId="4945537F" w:rsidR="00C07658" w:rsidRDefault="00C07658" w:rsidP="00C07658">
      <w:pPr>
        <w:ind w:left="0"/>
      </w:pPr>
      <w:r w:rsidRPr="00C07658">
        <w:t>If you feel unable to raise the matter with your line manager, for whatever reason, please raise the matter with o</w:t>
      </w:r>
      <w:r w:rsidR="00800E5A">
        <w:t xml:space="preserve">ne of our staff Freedom to </w:t>
      </w:r>
      <w:r w:rsidRPr="00C07658">
        <w:t xml:space="preserve">Speak Up </w:t>
      </w:r>
      <w:r w:rsidR="00800E5A">
        <w:t>Champion</w:t>
      </w:r>
      <w:bookmarkStart w:id="75" w:name="_Hlk91839284"/>
      <w:r w:rsidR="004E4D8C">
        <w:t xml:space="preserve">s whose names are listed on our </w:t>
      </w:r>
      <w:hyperlink r:id="rId40" w:history="1">
        <w:r w:rsidR="00773A7F">
          <w:rPr>
            <w:rStyle w:val="Hyperlink"/>
          </w:rPr>
          <w:t>Speaking Up</w:t>
        </w:r>
      </w:hyperlink>
      <w:r w:rsidR="004E4D8C">
        <w:t xml:space="preserve"> intranet page</w:t>
      </w:r>
      <w:r w:rsidR="00800E5A">
        <w:t>.</w:t>
      </w:r>
    </w:p>
    <w:p w14:paraId="4804CC56" w14:textId="05C0F0E2" w:rsidR="00800E5A" w:rsidRPr="00C07658" w:rsidRDefault="00800E5A" w:rsidP="00C07658">
      <w:pPr>
        <w:ind w:left="0"/>
      </w:pPr>
      <w:r>
        <w:t>You can also raise the matter with any of the ICB’s Executive Directors.</w:t>
      </w:r>
    </w:p>
    <w:bookmarkEnd w:id="75"/>
    <w:p w14:paraId="6BB4CB74" w14:textId="0DAAA127" w:rsidR="00C07658" w:rsidRPr="00C07658" w:rsidRDefault="00C07658" w:rsidP="00C07658">
      <w:pPr>
        <w:ind w:left="0"/>
      </w:pPr>
      <w:r w:rsidRPr="00C07658">
        <w:t xml:space="preserve">If you want to raise the matter in confidence, please say so at the outset so that appropriate arrangements can be made. </w:t>
      </w:r>
    </w:p>
    <w:p w14:paraId="328CD8B8" w14:textId="7700A332" w:rsidR="00C07658" w:rsidRPr="00C07658" w:rsidRDefault="00C07658" w:rsidP="00C07658">
      <w:pPr>
        <w:ind w:left="0"/>
        <w:rPr>
          <w:b/>
          <w:bCs/>
        </w:rPr>
      </w:pPr>
      <w:r w:rsidRPr="00C07658">
        <w:rPr>
          <w:b/>
          <w:bCs/>
        </w:rPr>
        <w:t>Step three</w:t>
      </w:r>
    </w:p>
    <w:p w14:paraId="4AEF1623" w14:textId="3A744561" w:rsidR="00C07658" w:rsidRPr="00C07658" w:rsidRDefault="00C07658" w:rsidP="00C07658">
      <w:pPr>
        <w:ind w:left="0"/>
      </w:pPr>
      <w:r w:rsidRPr="00C07658">
        <w:t xml:space="preserve">If these channels have been followed and you still have concerns, or if you feel that the matter is so serious that you cannot discuss it with any of the above, </w:t>
      </w:r>
      <w:r w:rsidR="00800E5A">
        <w:t>you can</w:t>
      </w:r>
      <w:r w:rsidRPr="00C07658">
        <w:t xml:space="preserve"> contact either: </w:t>
      </w:r>
    </w:p>
    <w:p w14:paraId="7D0F8C87" w14:textId="6FFD13EF" w:rsidR="00C07658" w:rsidRDefault="003C65F0" w:rsidP="00C07658">
      <w:pPr>
        <w:ind w:left="0"/>
      </w:pPr>
      <w:r>
        <w:t>Tracy Dowling</w:t>
      </w:r>
      <w:r w:rsidR="00C07658" w:rsidRPr="00C07658">
        <w:t xml:space="preserve">, </w:t>
      </w:r>
      <w:r>
        <w:t xml:space="preserve">Interim </w:t>
      </w:r>
      <w:r w:rsidR="00C07658" w:rsidRPr="00C07658">
        <w:t xml:space="preserve">Chief Executive </w:t>
      </w:r>
      <w:r w:rsidR="00773A7F" w:rsidRPr="00773A7F">
        <w:t xml:space="preserve">(email: </w:t>
      </w:r>
      <w:hyperlink r:id="rId41" w:history="1">
        <w:r w:rsidR="00773A7F" w:rsidRPr="00983A24">
          <w:rPr>
            <w:rStyle w:val="Hyperlink"/>
          </w:rPr>
          <w:t>ceooffice.mseics@nhs.net</w:t>
        </w:r>
      </w:hyperlink>
      <w:r w:rsidR="006F7098">
        <w:t>)</w:t>
      </w:r>
      <w:r w:rsidR="00773A7F" w:rsidRPr="00773A7F">
        <w:t>.</w:t>
      </w:r>
    </w:p>
    <w:p w14:paraId="72F0E436" w14:textId="77777777" w:rsidR="00800E5A" w:rsidRDefault="00800E5A" w:rsidP="00C07658">
      <w:pPr>
        <w:ind w:left="0"/>
      </w:pPr>
      <w:r>
        <w:t xml:space="preserve">Or </w:t>
      </w:r>
    </w:p>
    <w:p w14:paraId="295B4C54" w14:textId="5CB09A59" w:rsidR="00CE2784" w:rsidRDefault="00CE2784" w:rsidP="00800E5A">
      <w:pPr>
        <w:ind w:left="0"/>
      </w:pPr>
      <w:r>
        <w:t xml:space="preserve">George Wood, </w:t>
      </w:r>
      <w:r w:rsidR="00800E5A">
        <w:t>Freedom to Speak Up Guardian</w:t>
      </w:r>
      <w:r>
        <w:t xml:space="preserve"> (</w:t>
      </w:r>
      <w:hyperlink r:id="rId42" w:history="1">
        <w:r w:rsidRPr="00D373D4">
          <w:rPr>
            <w:rStyle w:val="Hyperlink"/>
          </w:rPr>
          <w:t>george.wood5@nhs.net</w:t>
        </w:r>
      </w:hyperlink>
      <w:r>
        <w:t>).</w:t>
      </w:r>
    </w:p>
    <w:p w14:paraId="2061FB0A" w14:textId="6DCB3FCB" w:rsidR="00800E5A" w:rsidRPr="00C07658" w:rsidRDefault="00800E5A" w:rsidP="00800E5A">
      <w:pPr>
        <w:ind w:left="0"/>
      </w:pPr>
      <w:r w:rsidRPr="00C07658">
        <w:t xml:space="preserve">This person has been given special responsibility and training in dealing with whistleblowing concerns. They will: </w:t>
      </w:r>
    </w:p>
    <w:p w14:paraId="69E867BA" w14:textId="77777777" w:rsidR="00800E5A" w:rsidRPr="00C07658" w:rsidRDefault="00800E5A">
      <w:pPr>
        <w:pStyle w:val="ListParagraph"/>
        <w:numPr>
          <w:ilvl w:val="0"/>
          <w:numId w:val="14"/>
        </w:numPr>
      </w:pPr>
      <w:r>
        <w:t>Tr</w:t>
      </w:r>
      <w:r w:rsidRPr="00C07658">
        <w:t>eat your concern confidentially unless otherwise agreed</w:t>
      </w:r>
      <w:r>
        <w:t>.</w:t>
      </w:r>
    </w:p>
    <w:p w14:paraId="13E03426" w14:textId="77777777" w:rsidR="00800E5A" w:rsidRPr="00C07658" w:rsidRDefault="00800E5A">
      <w:pPr>
        <w:pStyle w:val="ListParagraph"/>
        <w:numPr>
          <w:ilvl w:val="0"/>
          <w:numId w:val="14"/>
        </w:numPr>
      </w:pPr>
      <w:r>
        <w:t>E</w:t>
      </w:r>
      <w:r w:rsidRPr="00C07658">
        <w:t>nsure you receive timely support to progress your concern</w:t>
      </w:r>
      <w:r>
        <w:t>.</w:t>
      </w:r>
    </w:p>
    <w:p w14:paraId="1B3D46A9" w14:textId="77777777" w:rsidR="00800E5A" w:rsidRPr="00C07658" w:rsidRDefault="00800E5A">
      <w:pPr>
        <w:pStyle w:val="ListParagraph"/>
        <w:numPr>
          <w:ilvl w:val="0"/>
          <w:numId w:val="14"/>
        </w:numPr>
      </w:pPr>
      <w:r>
        <w:t>E</w:t>
      </w:r>
      <w:r w:rsidRPr="00C07658">
        <w:t xml:space="preserve">scalate to the </w:t>
      </w:r>
      <w:r>
        <w:t xml:space="preserve">ICB Board </w:t>
      </w:r>
      <w:r w:rsidRPr="00C07658">
        <w:t xml:space="preserve">any indications that you are being subjected to detriment for raising your concern. </w:t>
      </w:r>
    </w:p>
    <w:p w14:paraId="18CC855B" w14:textId="77777777" w:rsidR="00800E5A" w:rsidRPr="00C07658" w:rsidRDefault="00800E5A">
      <w:pPr>
        <w:pStyle w:val="ListParagraph"/>
        <w:numPr>
          <w:ilvl w:val="0"/>
          <w:numId w:val="14"/>
        </w:numPr>
      </w:pPr>
      <w:r>
        <w:t>R</w:t>
      </w:r>
      <w:r w:rsidRPr="00C07658">
        <w:t>emind the organisation of the need to give you timely feedback on how your concern</w:t>
      </w:r>
      <w:r>
        <w:t xml:space="preserve"> </w:t>
      </w:r>
      <w:r w:rsidRPr="00C07658">
        <w:t xml:space="preserve">is being dealt with. </w:t>
      </w:r>
    </w:p>
    <w:p w14:paraId="277D2F86" w14:textId="6C8EC91A" w:rsidR="00800E5A" w:rsidRPr="00C07658" w:rsidRDefault="00800E5A">
      <w:pPr>
        <w:pStyle w:val="ListParagraph"/>
        <w:numPr>
          <w:ilvl w:val="0"/>
          <w:numId w:val="14"/>
        </w:numPr>
      </w:pPr>
      <w:r>
        <w:t>E</w:t>
      </w:r>
      <w:r w:rsidRPr="00C07658">
        <w:t xml:space="preserve">nsure you have access to personal support since </w:t>
      </w:r>
      <w:r w:rsidR="003C65F0">
        <w:t xml:space="preserve">speaking </w:t>
      </w:r>
      <w:r w:rsidR="006F7098">
        <w:t xml:space="preserve">up </w:t>
      </w:r>
      <w:r w:rsidR="006F7098" w:rsidRPr="00C07658">
        <w:t>may</w:t>
      </w:r>
      <w:r w:rsidRPr="00C07658">
        <w:t xml:space="preserve"> be stressful. </w:t>
      </w:r>
    </w:p>
    <w:p w14:paraId="1CF0747D" w14:textId="77777777" w:rsidR="00C07658" w:rsidRPr="00C07658" w:rsidRDefault="00C07658" w:rsidP="00C07658">
      <w:pPr>
        <w:ind w:left="0"/>
        <w:rPr>
          <w:b/>
          <w:bCs/>
        </w:rPr>
      </w:pPr>
      <w:r w:rsidRPr="00C07658">
        <w:rPr>
          <w:b/>
          <w:bCs/>
        </w:rPr>
        <w:t>Step four</w:t>
      </w:r>
    </w:p>
    <w:p w14:paraId="4FB1AE16" w14:textId="3F09569E" w:rsidR="00C07658" w:rsidRPr="00C07658" w:rsidRDefault="00C07658" w:rsidP="00C07658">
      <w:pPr>
        <w:ind w:left="0"/>
      </w:pPr>
      <w:r w:rsidRPr="00C07658">
        <w:t>You can</w:t>
      </w:r>
      <w:r w:rsidR="003C65F0">
        <w:t xml:space="preserve"> speak up</w:t>
      </w:r>
      <w:r w:rsidRPr="00C07658">
        <w:t xml:space="preserve"> formally with external bodies. </w:t>
      </w:r>
    </w:p>
    <w:p w14:paraId="37A85D89" w14:textId="1ECE2D51" w:rsidR="00C07658" w:rsidRDefault="008320CF" w:rsidP="00C07658">
      <w:pPr>
        <w:pStyle w:val="ListParagraph"/>
        <w:ind w:left="709" w:hanging="425"/>
      </w:pPr>
      <w:hyperlink r:id="rId43" w:history="1">
        <w:r w:rsidR="00C07658">
          <w:rPr>
            <w:rStyle w:val="Hyperlink"/>
          </w:rPr>
          <w:t>NHS England and NHS Improvement</w:t>
        </w:r>
      </w:hyperlink>
      <w:r w:rsidR="00C07658">
        <w:t xml:space="preserve"> for concerns about primary medical services (general practice), primary dental services, primary ophthalmic services, local pharmaceutical services, or concerns about how NHS trusts and foundation trusts are being run, other providers with an NHS provider licence, NHS procurement, choice and competition and the national tariff.</w:t>
      </w:r>
    </w:p>
    <w:p w14:paraId="40A3FEFA" w14:textId="77777777" w:rsidR="00040717" w:rsidRDefault="00040717" w:rsidP="00CD52D6">
      <w:pPr>
        <w:pStyle w:val="Style7"/>
        <w:numPr>
          <w:ilvl w:val="0"/>
          <w:numId w:val="0"/>
        </w:numPr>
        <w:ind w:left="1134"/>
      </w:pPr>
      <w:r w:rsidRPr="00040717">
        <w:rPr>
          <w:b/>
          <w:bCs/>
        </w:rPr>
        <w:t>Telephone</w:t>
      </w:r>
      <w:r>
        <w:t>: 0300 311 22 33</w:t>
      </w:r>
    </w:p>
    <w:p w14:paraId="6E799CA7" w14:textId="40A9B46D" w:rsidR="00040717" w:rsidRDefault="00040717" w:rsidP="00CD52D6">
      <w:pPr>
        <w:pStyle w:val="Style7"/>
        <w:numPr>
          <w:ilvl w:val="0"/>
          <w:numId w:val="0"/>
        </w:numPr>
        <w:ind w:left="1134"/>
      </w:pPr>
      <w:r w:rsidRPr="00040717">
        <w:rPr>
          <w:b/>
          <w:bCs/>
        </w:rPr>
        <w:lastRenderedPageBreak/>
        <w:t>Email</w:t>
      </w:r>
      <w:r>
        <w:t xml:space="preserve">: </w:t>
      </w:r>
      <w:hyperlink r:id="rId44" w:history="1">
        <w:r w:rsidR="004B5DB6" w:rsidRPr="00D62105">
          <w:rPr>
            <w:rStyle w:val="Hyperlink"/>
          </w:rPr>
          <w:t>england.contactus@nhs.net</w:t>
        </w:r>
      </w:hyperlink>
    </w:p>
    <w:p w14:paraId="6CF633D7" w14:textId="24E325FF" w:rsidR="00040717" w:rsidRDefault="00040717" w:rsidP="00CD52D6">
      <w:pPr>
        <w:pStyle w:val="Style7"/>
        <w:numPr>
          <w:ilvl w:val="0"/>
          <w:numId w:val="0"/>
        </w:numPr>
        <w:ind w:left="1134"/>
      </w:pPr>
      <w:r w:rsidRPr="00040717">
        <w:rPr>
          <w:b/>
          <w:bCs/>
        </w:rPr>
        <w:t>Post</w:t>
      </w:r>
      <w:r>
        <w:t>: NHS England, PO Box 16738, Redditch, B97 9PT</w:t>
      </w:r>
    </w:p>
    <w:p w14:paraId="3935611C" w14:textId="77777777" w:rsidR="00CD52D6" w:rsidRDefault="00CD52D6" w:rsidP="00CD52D6">
      <w:pPr>
        <w:pStyle w:val="Style7"/>
        <w:numPr>
          <w:ilvl w:val="0"/>
          <w:numId w:val="0"/>
        </w:numPr>
        <w:ind w:left="1134"/>
      </w:pPr>
    </w:p>
    <w:p w14:paraId="61A7115A" w14:textId="1E611392" w:rsidR="00040717" w:rsidRDefault="008320CF" w:rsidP="00040717">
      <w:pPr>
        <w:pStyle w:val="ListParagraph"/>
        <w:ind w:left="709" w:hanging="425"/>
      </w:pPr>
      <w:hyperlink r:id="rId45" w:history="1">
        <w:r w:rsidR="00C07658">
          <w:rPr>
            <w:rStyle w:val="Hyperlink"/>
          </w:rPr>
          <w:t>Care Quality Commission</w:t>
        </w:r>
      </w:hyperlink>
      <w:r w:rsidR="00C07658">
        <w:t xml:space="preserve"> for quality and safety concerns.</w:t>
      </w:r>
    </w:p>
    <w:p w14:paraId="317E1720" w14:textId="75C98F23" w:rsidR="00040717" w:rsidRDefault="00040717" w:rsidP="00CD52D6">
      <w:pPr>
        <w:pStyle w:val="Style7"/>
        <w:numPr>
          <w:ilvl w:val="0"/>
          <w:numId w:val="0"/>
        </w:numPr>
        <w:ind w:left="1134"/>
      </w:pPr>
      <w:r w:rsidRPr="00040717">
        <w:rPr>
          <w:b/>
          <w:bCs/>
        </w:rPr>
        <w:t>Telephone</w:t>
      </w:r>
      <w:r>
        <w:t>: 03000 616161</w:t>
      </w:r>
    </w:p>
    <w:p w14:paraId="4D4A009D" w14:textId="0012A21C" w:rsidR="00040717" w:rsidRDefault="00040717" w:rsidP="00CD52D6">
      <w:pPr>
        <w:pStyle w:val="Style7"/>
        <w:numPr>
          <w:ilvl w:val="0"/>
          <w:numId w:val="0"/>
        </w:numPr>
        <w:ind w:left="1134"/>
      </w:pPr>
      <w:r w:rsidRPr="00040717">
        <w:rPr>
          <w:b/>
          <w:bCs/>
        </w:rPr>
        <w:t>Email</w:t>
      </w:r>
      <w:r>
        <w:t xml:space="preserve">: </w:t>
      </w:r>
      <w:hyperlink r:id="rId46" w:history="1">
        <w:r w:rsidR="004B5DB6" w:rsidRPr="00D62105">
          <w:rPr>
            <w:rStyle w:val="Hyperlink"/>
          </w:rPr>
          <w:t>enquiries@cqc.org.uk</w:t>
        </w:r>
      </w:hyperlink>
    </w:p>
    <w:p w14:paraId="3D1242DC" w14:textId="2933A907" w:rsidR="00040717" w:rsidRDefault="00040717" w:rsidP="00CD52D6">
      <w:pPr>
        <w:pStyle w:val="Style7"/>
        <w:numPr>
          <w:ilvl w:val="0"/>
          <w:numId w:val="0"/>
        </w:numPr>
        <w:ind w:left="1134"/>
      </w:pPr>
      <w:r w:rsidRPr="00040717">
        <w:rPr>
          <w:b/>
          <w:bCs/>
        </w:rPr>
        <w:t>Post</w:t>
      </w:r>
      <w:r>
        <w:t>: CQC National Correspondence, Citygate, Gallowgate, Newcastle upon Tyne NE1 4PA</w:t>
      </w:r>
    </w:p>
    <w:p w14:paraId="57FC0F53" w14:textId="4FDB2EDC" w:rsidR="004B5DB6" w:rsidRDefault="00040717" w:rsidP="00CD52D6">
      <w:pPr>
        <w:pStyle w:val="Style7"/>
        <w:numPr>
          <w:ilvl w:val="0"/>
          <w:numId w:val="0"/>
        </w:numPr>
        <w:ind w:left="1134"/>
        <w:rPr>
          <w:rStyle w:val="Hyperlink"/>
        </w:rPr>
      </w:pPr>
      <w:r w:rsidRPr="00040717">
        <w:rPr>
          <w:b/>
          <w:bCs/>
        </w:rPr>
        <w:t>Online</w:t>
      </w:r>
      <w:r>
        <w:t xml:space="preserve">: </w:t>
      </w:r>
      <w:hyperlink r:id="rId47" w:history="1">
        <w:r w:rsidR="004B5DB6" w:rsidRPr="00D62105">
          <w:rPr>
            <w:rStyle w:val="Hyperlink"/>
          </w:rPr>
          <w:t>www.cqc.org.uk/GiveFeedback</w:t>
        </w:r>
      </w:hyperlink>
    </w:p>
    <w:p w14:paraId="26A196E6" w14:textId="77777777" w:rsidR="00CD52D6" w:rsidRDefault="00CD52D6" w:rsidP="00CD52D6">
      <w:pPr>
        <w:pStyle w:val="Style7"/>
        <w:numPr>
          <w:ilvl w:val="0"/>
          <w:numId w:val="0"/>
        </w:numPr>
        <w:ind w:left="1134"/>
      </w:pPr>
    </w:p>
    <w:p w14:paraId="4D7EB49A" w14:textId="28245DDC" w:rsidR="00C07658" w:rsidRDefault="008320CF" w:rsidP="00040717">
      <w:pPr>
        <w:pStyle w:val="ListParagraph"/>
        <w:ind w:left="709" w:hanging="425"/>
      </w:pPr>
      <w:hyperlink r:id="rId48" w:history="1">
        <w:r w:rsidR="00CE2784">
          <w:rPr>
            <w:rStyle w:val="Hyperlink"/>
          </w:rPr>
          <w:t>Health Education England</w:t>
        </w:r>
      </w:hyperlink>
      <w:r w:rsidR="00C07658">
        <w:t xml:space="preserve"> for education and training in the NHS</w:t>
      </w:r>
    </w:p>
    <w:p w14:paraId="6D4E6E1E" w14:textId="2026BB64" w:rsidR="004B5DB6" w:rsidRDefault="004B5DB6" w:rsidP="00CD52D6">
      <w:pPr>
        <w:pStyle w:val="Style7"/>
        <w:numPr>
          <w:ilvl w:val="0"/>
          <w:numId w:val="0"/>
        </w:numPr>
        <w:ind w:left="1134"/>
        <w:rPr>
          <w:rStyle w:val="Hyperlink"/>
        </w:rPr>
      </w:pPr>
      <w:r w:rsidRPr="004B5DB6">
        <w:rPr>
          <w:b/>
          <w:bCs/>
        </w:rPr>
        <w:t>Online:</w:t>
      </w:r>
      <w:r>
        <w:t xml:space="preserve"> </w:t>
      </w:r>
      <w:hyperlink r:id="rId49" w:history="1">
        <w:r w:rsidRPr="00D62105">
          <w:rPr>
            <w:rStyle w:val="Hyperlink"/>
          </w:rPr>
          <w:t>www.hee.nhs.uk/about/contact-us-0</w:t>
        </w:r>
      </w:hyperlink>
    </w:p>
    <w:p w14:paraId="08EFA9E6" w14:textId="77777777" w:rsidR="00CD52D6" w:rsidRDefault="00CD52D6" w:rsidP="00CD52D6">
      <w:pPr>
        <w:pStyle w:val="Style7"/>
        <w:numPr>
          <w:ilvl w:val="0"/>
          <w:numId w:val="0"/>
        </w:numPr>
        <w:ind w:left="1134"/>
      </w:pPr>
    </w:p>
    <w:p w14:paraId="10E35994" w14:textId="77777777" w:rsidR="00C07658" w:rsidRDefault="008320CF" w:rsidP="00C07658">
      <w:pPr>
        <w:pStyle w:val="ListParagraph"/>
        <w:ind w:left="709" w:hanging="425"/>
      </w:pPr>
      <w:hyperlink r:id="rId50" w:history="1">
        <w:r w:rsidR="00C07658">
          <w:rPr>
            <w:rStyle w:val="Hyperlink"/>
          </w:rPr>
          <w:t>NHS Counter Fraud Authority</w:t>
        </w:r>
      </w:hyperlink>
      <w:r w:rsidR="00C07658">
        <w:t xml:space="preserve"> for concerns about fraud and corruption.</w:t>
      </w:r>
    </w:p>
    <w:p w14:paraId="1F68A448" w14:textId="7B813FE9" w:rsidR="004B5DB6" w:rsidRPr="004B5DB6" w:rsidRDefault="004B5DB6" w:rsidP="00CD52D6">
      <w:pPr>
        <w:pStyle w:val="Style7"/>
        <w:numPr>
          <w:ilvl w:val="0"/>
          <w:numId w:val="0"/>
        </w:numPr>
        <w:ind w:left="1134"/>
      </w:pPr>
      <w:r>
        <w:rPr>
          <w:b/>
          <w:bCs/>
        </w:rPr>
        <w:t xml:space="preserve">Phone: </w:t>
      </w:r>
      <w:r w:rsidRPr="004B5DB6">
        <w:t>0800 028 4060</w:t>
      </w:r>
    </w:p>
    <w:p w14:paraId="25F28F0A" w14:textId="10E63061" w:rsidR="00040717" w:rsidRDefault="004B5DB6" w:rsidP="00CD52D6">
      <w:pPr>
        <w:pStyle w:val="Style7"/>
        <w:numPr>
          <w:ilvl w:val="0"/>
          <w:numId w:val="0"/>
        </w:numPr>
        <w:ind w:left="1134"/>
      </w:pPr>
      <w:r>
        <w:rPr>
          <w:b/>
          <w:bCs/>
        </w:rPr>
        <w:t xml:space="preserve">Online: </w:t>
      </w:r>
      <w:hyperlink r:id="rId51" w:history="1">
        <w:r w:rsidRPr="00D62105">
          <w:rPr>
            <w:rStyle w:val="Hyperlink"/>
          </w:rPr>
          <w:t>https://cfa.nhs.uk/reportfraud</w:t>
        </w:r>
      </w:hyperlink>
    </w:p>
    <w:p w14:paraId="5BE9471C" w14:textId="77777777" w:rsidR="004B5DB6" w:rsidRDefault="004B5DB6" w:rsidP="004B5DB6">
      <w:pPr>
        <w:ind w:left="709"/>
      </w:pPr>
    </w:p>
    <w:p w14:paraId="1663EBD5" w14:textId="77777777" w:rsidR="004B5DB6" w:rsidRDefault="004B5DB6" w:rsidP="004B5DB6">
      <w:pPr>
        <w:ind w:left="709"/>
      </w:pPr>
    </w:p>
    <w:p w14:paraId="6D5F11CF" w14:textId="733B2596" w:rsidR="004B5DB6" w:rsidRDefault="004B5DB6" w:rsidP="00613925">
      <w:pPr>
        <w:ind w:left="0"/>
        <w:rPr>
          <w:b/>
          <w:bCs/>
        </w:rPr>
        <w:sectPr w:rsidR="004B5DB6" w:rsidSect="00897E1C">
          <w:headerReference w:type="default" r:id="rId52"/>
          <w:footerReference w:type="default" r:id="rId53"/>
          <w:headerReference w:type="first" r:id="rId54"/>
          <w:pgSz w:w="11906" w:h="16838"/>
          <w:pgMar w:top="1271" w:right="991" w:bottom="1797" w:left="1440" w:header="1111" w:footer="709" w:gutter="0"/>
          <w:pgNumType w:start="0"/>
          <w:cols w:space="708"/>
          <w:titlePg/>
          <w:docGrid w:linePitch="360"/>
        </w:sectPr>
      </w:pPr>
    </w:p>
    <w:p w14:paraId="6619DB26" w14:textId="183D62A2" w:rsidR="007D1C56" w:rsidRDefault="007D1C56" w:rsidP="00CD52D6">
      <w:pPr>
        <w:pStyle w:val="Heading2"/>
        <w:numPr>
          <w:ilvl w:val="0"/>
          <w:numId w:val="0"/>
        </w:numPr>
        <w:ind w:left="1134" w:hanging="1134"/>
      </w:pPr>
      <w:bookmarkStart w:id="76" w:name="_Toc152597561"/>
      <w:r>
        <w:lastRenderedPageBreak/>
        <w:t xml:space="preserve">Appendix C - </w:t>
      </w:r>
      <w:r w:rsidRPr="00E4604C">
        <w:t>Management guidance</w:t>
      </w:r>
      <w:bookmarkEnd w:id="76"/>
      <w:r w:rsidRPr="00E4604C">
        <w:t xml:space="preserve"> </w:t>
      </w:r>
    </w:p>
    <w:p w14:paraId="35EBF123" w14:textId="74F24AE6" w:rsidR="00E4604C" w:rsidRPr="007A57D0" w:rsidRDefault="00E4604C" w:rsidP="007A57D0">
      <w:pPr>
        <w:ind w:left="0"/>
        <w:rPr>
          <w:b/>
          <w:bCs/>
        </w:rPr>
      </w:pPr>
      <w:r w:rsidRPr="007A57D0">
        <w:rPr>
          <w:b/>
          <w:bCs/>
        </w:rPr>
        <w:t>Introduction</w:t>
      </w:r>
    </w:p>
    <w:p w14:paraId="733BEF3E" w14:textId="7B096954" w:rsidR="00E4604C" w:rsidRPr="00E4604C" w:rsidRDefault="00E4604C" w:rsidP="007A57D0">
      <w:pPr>
        <w:ind w:left="0"/>
      </w:pPr>
      <w:r w:rsidRPr="00E4604C">
        <w:t xml:space="preserve">This management guidance supplements the </w:t>
      </w:r>
      <w:r w:rsidR="00D47578">
        <w:t>Freedom to Speak Up/W</w:t>
      </w:r>
      <w:r w:rsidRPr="00E4604C">
        <w:t>histle-blowing policy and lists some</w:t>
      </w:r>
      <w:r w:rsidR="007A57D0">
        <w:t xml:space="preserve"> </w:t>
      </w:r>
      <w:r w:rsidRPr="00E4604C">
        <w:t>of the issues that come into play when a</w:t>
      </w:r>
      <w:r w:rsidR="0078058B">
        <w:t xml:space="preserve">n </w:t>
      </w:r>
      <w:r w:rsidRPr="00E4604C">
        <w:t xml:space="preserve">incident occurs. </w:t>
      </w:r>
    </w:p>
    <w:p w14:paraId="5D5612A3" w14:textId="1ACC05D4" w:rsidR="00E4604C" w:rsidRPr="007A57D0" w:rsidRDefault="00E4604C" w:rsidP="007A57D0">
      <w:pPr>
        <w:ind w:left="0"/>
        <w:rPr>
          <w:b/>
          <w:bCs/>
        </w:rPr>
      </w:pPr>
      <w:r w:rsidRPr="007A57D0">
        <w:rPr>
          <w:b/>
          <w:bCs/>
        </w:rPr>
        <w:t>Overall responsibility for whistleblowing cases</w:t>
      </w:r>
    </w:p>
    <w:p w14:paraId="4177DDF7" w14:textId="331AB8DF" w:rsidR="00E4604C" w:rsidRPr="00E4604C" w:rsidRDefault="00E4604C" w:rsidP="007A57D0">
      <w:pPr>
        <w:ind w:left="0"/>
      </w:pPr>
      <w:r w:rsidRPr="00E4604C">
        <w:t xml:space="preserve">Overall responsibility for </w:t>
      </w:r>
      <w:r w:rsidR="0078058B">
        <w:t>Freedom to Speak Up/W</w:t>
      </w:r>
      <w:r w:rsidRPr="00E4604C">
        <w:t xml:space="preserve">histleblowing cases rests with the </w:t>
      </w:r>
      <w:r w:rsidR="007D7A18">
        <w:t xml:space="preserve">Chief Executive </w:t>
      </w:r>
      <w:r w:rsidRPr="00E4604C">
        <w:t xml:space="preserve">who shall </w:t>
      </w:r>
      <w:r w:rsidR="007D7A18">
        <w:t xml:space="preserve">appoint a </w:t>
      </w:r>
      <w:r w:rsidRPr="00E4604C">
        <w:t>co-ordinat</w:t>
      </w:r>
      <w:r w:rsidR="007D7A18">
        <w:t>or for</w:t>
      </w:r>
      <w:r w:rsidRPr="00E4604C">
        <w:t xml:space="preserve"> </w:t>
      </w:r>
      <w:r w:rsidR="007D7A18">
        <w:t>each whistleblowing case</w:t>
      </w:r>
      <w:r w:rsidRPr="00E4604C">
        <w:t xml:space="preserve">. </w:t>
      </w:r>
    </w:p>
    <w:p w14:paraId="2C283724" w14:textId="0B5ED7D3" w:rsidR="00E4604C" w:rsidRPr="00E4604C" w:rsidRDefault="00E4604C" w:rsidP="00E4604C">
      <w:pPr>
        <w:ind w:left="0"/>
      </w:pPr>
      <w:r w:rsidRPr="00E4604C">
        <w:t xml:space="preserve">The co-ordinator </w:t>
      </w:r>
      <w:r w:rsidR="007D7A18">
        <w:t xml:space="preserve">should </w:t>
      </w:r>
      <w:r w:rsidRPr="00E4604C">
        <w:t>be a director</w:t>
      </w:r>
      <w:r w:rsidR="007D7A18">
        <w:t xml:space="preserve"> so that they</w:t>
      </w:r>
      <w:r w:rsidRPr="00E4604C">
        <w:t xml:space="preserve"> have influence at </w:t>
      </w:r>
      <w:r w:rsidR="007D7A18">
        <w:t xml:space="preserve">Board </w:t>
      </w:r>
      <w:r w:rsidRPr="00E4604C">
        <w:t xml:space="preserve">level and to </w:t>
      </w:r>
      <w:r w:rsidR="007D7A18">
        <w:t>demonstrate</w:t>
      </w:r>
      <w:r w:rsidRPr="00E4604C">
        <w:t xml:space="preserve"> that </w:t>
      </w:r>
      <w:r w:rsidR="007D7A18">
        <w:t>the ICB</w:t>
      </w:r>
      <w:r w:rsidRPr="00E4604C">
        <w:t xml:space="preserve"> take</w:t>
      </w:r>
      <w:r w:rsidR="007D7A18">
        <w:t>s</w:t>
      </w:r>
      <w:r w:rsidRPr="00E4604C">
        <w:t xml:space="preserve"> accusations seriously. </w:t>
      </w:r>
    </w:p>
    <w:p w14:paraId="1DD83B6B" w14:textId="171ABB3D" w:rsidR="00E4604C" w:rsidRPr="007A57D0" w:rsidRDefault="00E4604C" w:rsidP="007A57D0">
      <w:pPr>
        <w:ind w:left="0"/>
        <w:rPr>
          <w:b/>
          <w:bCs/>
        </w:rPr>
      </w:pPr>
      <w:r w:rsidRPr="007A57D0">
        <w:rPr>
          <w:b/>
          <w:bCs/>
        </w:rPr>
        <w:t xml:space="preserve">The </w:t>
      </w:r>
      <w:r w:rsidR="000211D0">
        <w:rPr>
          <w:b/>
          <w:bCs/>
        </w:rPr>
        <w:t xml:space="preserve">case </w:t>
      </w:r>
      <w:r w:rsidRPr="007A57D0">
        <w:rPr>
          <w:b/>
          <w:bCs/>
        </w:rPr>
        <w:t>project team</w:t>
      </w:r>
    </w:p>
    <w:p w14:paraId="5231CB33" w14:textId="5F2D976B" w:rsidR="00E4604C" w:rsidRPr="00E4604C" w:rsidRDefault="00E4604C" w:rsidP="00E4604C">
      <w:pPr>
        <w:ind w:left="0"/>
      </w:pPr>
      <w:r w:rsidRPr="00E4604C">
        <w:t xml:space="preserve">The co-ordinator will form a </w:t>
      </w:r>
      <w:r w:rsidR="000211D0">
        <w:t xml:space="preserve">case project </w:t>
      </w:r>
      <w:r w:rsidRPr="00E4604C">
        <w:t>team</w:t>
      </w:r>
      <w:r w:rsidR="000211D0">
        <w:t xml:space="preserve"> (‘team’)</w:t>
      </w:r>
      <w:r w:rsidRPr="00E4604C">
        <w:t xml:space="preserve"> to investigate and manage any whistle- blowing incident. This team should have a range of knowledge and skills. </w:t>
      </w:r>
    </w:p>
    <w:p w14:paraId="79C961B0" w14:textId="2C967D8A" w:rsidR="00E4604C" w:rsidRPr="00E4604C" w:rsidRDefault="00E4604C" w:rsidP="00E4604C">
      <w:pPr>
        <w:ind w:left="0"/>
      </w:pPr>
      <w:r w:rsidRPr="00E4604C">
        <w:t>Wherever possible, the team should have someone who works in the same area as the whistleblower</w:t>
      </w:r>
      <w:r w:rsidR="007D7A18">
        <w:t>,</w:t>
      </w:r>
      <w:r w:rsidRPr="00E4604C">
        <w:t xml:space="preserve"> e.g. finance, quality. They will help the project team to find out normal operational protocols and good practice. </w:t>
      </w:r>
    </w:p>
    <w:p w14:paraId="7C45F538" w14:textId="102A316C" w:rsidR="00E4604C" w:rsidRPr="00E4604C" w:rsidRDefault="00E4604C" w:rsidP="00E4604C">
      <w:pPr>
        <w:ind w:left="0"/>
      </w:pPr>
      <w:r w:rsidRPr="00E4604C">
        <w:t xml:space="preserve">The co-ordinator will tell the whistleblower who is in the project team, and whether they are likely to work together. </w:t>
      </w:r>
    </w:p>
    <w:p w14:paraId="1EE187D3" w14:textId="3DB6BDA6" w:rsidR="00E4604C" w:rsidRPr="00E4604C" w:rsidRDefault="00E4604C" w:rsidP="00E4604C">
      <w:pPr>
        <w:ind w:left="0"/>
      </w:pPr>
      <w:r w:rsidRPr="00E4604C">
        <w:t xml:space="preserve">The team must also do its best to keep the whistleblower anonymous. If it is not possible to do this, they must tell the whistleblower as soon as possible. </w:t>
      </w:r>
    </w:p>
    <w:p w14:paraId="102E406A" w14:textId="704146BD" w:rsidR="00E4604C" w:rsidRPr="00E4604C" w:rsidRDefault="00E4604C" w:rsidP="00E4604C">
      <w:pPr>
        <w:ind w:left="0"/>
      </w:pPr>
      <w:r w:rsidRPr="007A57D0">
        <w:rPr>
          <w:b/>
          <w:bCs/>
        </w:rPr>
        <w:t>Size of team</w:t>
      </w:r>
      <w:r w:rsidRPr="00E4604C">
        <w:t xml:space="preserve"> - the number of people in the team dealing will depend on the whistleblowing incident involved. It is unlikely that a team will have fewer than three people (the coordinator, a case </w:t>
      </w:r>
      <w:r w:rsidR="006F7098" w:rsidRPr="00E4604C">
        <w:t>manager,</w:t>
      </w:r>
      <w:r w:rsidRPr="00E4604C">
        <w:t xml:space="preserve"> and a contact officer </w:t>
      </w:r>
      <w:r w:rsidRPr="00F002CC">
        <w:t>– see later notes).</w:t>
      </w:r>
      <w:r w:rsidRPr="00E4604C">
        <w:t xml:space="preserve"> </w:t>
      </w:r>
      <w:r>
        <w:t xml:space="preserve"> </w:t>
      </w:r>
      <w:r w:rsidRPr="00E4604C">
        <w:t xml:space="preserve">The team should be as small as possible, to make sure the investigation is discreet, but still be able to deal with all the issues involved properly. </w:t>
      </w:r>
    </w:p>
    <w:p w14:paraId="4BF83995" w14:textId="653D2FA1" w:rsidR="00E4604C" w:rsidRPr="00E4604C" w:rsidRDefault="00E4604C" w:rsidP="00E4604C">
      <w:pPr>
        <w:ind w:left="0"/>
      </w:pPr>
      <w:r w:rsidRPr="00E4604C">
        <w:t xml:space="preserve">The team should also be senior enough to be able to bring in extra resources to help them if required. </w:t>
      </w:r>
    </w:p>
    <w:p w14:paraId="1D5F2441" w14:textId="245AF445" w:rsidR="00E4604C" w:rsidRPr="00E4604C" w:rsidRDefault="00E4604C" w:rsidP="00E4604C">
      <w:pPr>
        <w:ind w:left="0"/>
      </w:pPr>
      <w:r w:rsidRPr="00E4604C">
        <w:t xml:space="preserve">The case manager has responsibility for the day-to-day management and progress of the project (under the overall strategic direction of the co-ordinator). </w:t>
      </w:r>
    </w:p>
    <w:p w14:paraId="60D629D6" w14:textId="02825081" w:rsidR="00E4604C" w:rsidRPr="00E4604C" w:rsidRDefault="00E4604C" w:rsidP="00E4604C">
      <w:pPr>
        <w:ind w:left="0"/>
      </w:pPr>
      <w:r w:rsidRPr="007A57D0">
        <w:rPr>
          <w:b/>
          <w:bCs/>
        </w:rPr>
        <w:t>Conflict of interest</w:t>
      </w:r>
      <w:r w:rsidRPr="00E4604C">
        <w:t xml:space="preserve"> - the people involved in any project team must not have any conflict of interest through personal relationships with those being investigated or with the whistleblower. </w:t>
      </w:r>
    </w:p>
    <w:p w14:paraId="2452B5F7" w14:textId="310D7D02" w:rsidR="00E4604C" w:rsidRPr="00E4604C" w:rsidRDefault="00E4604C" w:rsidP="00E4604C">
      <w:pPr>
        <w:ind w:left="0"/>
      </w:pPr>
      <w:r w:rsidRPr="00E4604C">
        <w:t xml:space="preserve">The person who may have to make a judgement on the findings of the investigation should not carry out the direct investigation. There will therefore need to be clear boundaries within the project team if the co-ordinator is to </w:t>
      </w:r>
      <w:r w:rsidRPr="005775E2">
        <w:t xml:space="preserve">make the decision based </w:t>
      </w:r>
      <w:r w:rsidRPr="005775E2">
        <w:lastRenderedPageBreak/>
        <w:t>upon an investigation led by the case manager. If</w:t>
      </w:r>
      <w:r w:rsidRPr="00E4604C">
        <w:t xml:space="preserve"> the co</w:t>
      </w:r>
      <w:r w:rsidR="005775E2">
        <w:noBreakHyphen/>
      </w:r>
      <w:r w:rsidRPr="00E4604C">
        <w:t xml:space="preserve">ordinator is heavily involved in the investigation, then the decision needs to be taken by another Executive. </w:t>
      </w:r>
    </w:p>
    <w:p w14:paraId="20BD27CE" w14:textId="7181891C" w:rsidR="00E4604C" w:rsidRPr="00E4604C" w:rsidRDefault="00E4604C" w:rsidP="00E4604C">
      <w:pPr>
        <w:ind w:left="0"/>
      </w:pPr>
      <w:r w:rsidRPr="007A57D0">
        <w:rPr>
          <w:b/>
          <w:bCs/>
        </w:rPr>
        <w:t>Local Counter Fraud Specialist and other fraud investigations</w:t>
      </w:r>
      <w:r w:rsidRPr="00E4604C">
        <w:t xml:space="preserve"> - some whistle</w:t>
      </w:r>
      <w:r>
        <w:t>b</w:t>
      </w:r>
      <w:r w:rsidRPr="00E4604C">
        <w:t xml:space="preserve">lowing cases may have to involve the Local Counter Fraud Specialist. It may also be necessary to liaise with the police. If the Local Counter Fraud Specialist </w:t>
      </w:r>
      <w:r w:rsidR="005775E2">
        <w:t>and/or the Police</w:t>
      </w:r>
      <w:r w:rsidRPr="00E4604C">
        <w:t xml:space="preserve"> involved, they will dictate the process. </w:t>
      </w:r>
    </w:p>
    <w:p w14:paraId="67BBEE25" w14:textId="6C43000A" w:rsidR="00E4604C" w:rsidRPr="00E4604C" w:rsidRDefault="00E4604C" w:rsidP="00E4604C">
      <w:pPr>
        <w:ind w:left="0"/>
      </w:pPr>
      <w:r w:rsidRPr="00E4604C">
        <w:t xml:space="preserve">Note: not every </w:t>
      </w:r>
      <w:r w:rsidR="0078058B">
        <w:t>Freedom to Speak Up/</w:t>
      </w:r>
      <w:r w:rsidRPr="00E4604C">
        <w:t xml:space="preserve">whistle-blowing case will involve fraud or corruption. A fraud or corruption investigation may start in ways that may not involve any element of whistleblowing. </w:t>
      </w:r>
    </w:p>
    <w:p w14:paraId="0256F27C" w14:textId="27C122C0" w:rsidR="00E4604C" w:rsidRPr="00E4604C" w:rsidRDefault="00E4604C" w:rsidP="00E4604C">
      <w:pPr>
        <w:ind w:left="0"/>
      </w:pPr>
      <w:r w:rsidRPr="007A57D0">
        <w:rPr>
          <w:b/>
          <w:bCs/>
        </w:rPr>
        <w:t>HR involvement</w:t>
      </w:r>
      <w:r w:rsidRPr="00E4604C">
        <w:t xml:space="preserve"> - where there are potential issues round the whistleblower’s continued employment in their current job, HR must be involved from the star</w:t>
      </w:r>
      <w:r w:rsidR="007D7A18">
        <w:t>t</w:t>
      </w:r>
      <w:r w:rsidRPr="00E4604C">
        <w:t xml:space="preserve"> and must be included in the project team. </w:t>
      </w:r>
      <w:r>
        <w:t xml:space="preserve"> </w:t>
      </w:r>
      <w:r w:rsidRPr="00E4604C">
        <w:t xml:space="preserve">This is likely to be the case for most whistleblowing cases, but not all. </w:t>
      </w:r>
    </w:p>
    <w:p w14:paraId="1172B63B" w14:textId="55B5502E" w:rsidR="00E4604C" w:rsidRPr="00E4604C" w:rsidRDefault="00E4604C" w:rsidP="00E4604C">
      <w:pPr>
        <w:ind w:left="0"/>
      </w:pPr>
      <w:r w:rsidRPr="007A57D0">
        <w:rPr>
          <w:b/>
          <w:bCs/>
        </w:rPr>
        <w:t>Other experts</w:t>
      </w:r>
      <w:r w:rsidRPr="00E4604C">
        <w:t xml:space="preserve"> - depending on the case, other experts may need to be called in to work with the project team. For example</w:t>
      </w:r>
      <w:r w:rsidR="007D7A18">
        <w:t>,</w:t>
      </w:r>
      <w:r w:rsidRPr="00E4604C">
        <w:t xml:space="preserve"> IT experts may be needed if computers and technology may have been used in the alleged wrongdoing or have been used to remove evidence or audit trails. For similar reasons, finance experts/accountants/ auditors or HR professionals may also be needed. In difficult cases, the Local Counter Fraud Specialist </w:t>
      </w:r>
      <w:r w:rsidR="007D7A18">
        <w:t xml:space="preserve">will need to be involved </w:t>
      </w:r>
      <w:r w:rsidRPr="00E4604C">
        <w:t xml:space="preserve">because of their experience in dealing with complex investigations. </w:t>
      </w:r>
    </w:p>
    <w:p w14:paraId="390E0F73" w14:textId="2E0CF7D5" w:rsidR="00E4604C" w:rsidRPr="00E4604C" w:rsidRDefault="00E4604C" w:rsidP="00E4604C">
      <w:pPr>
        <w:ind w:left="0"/>
      </w:pPr>
      <w:r w:rsidRPr="007A57D0">
        <w:rPr>
          <w:b/>
          <w:bCs/>
        </w:rPr>
        <w:t xml:space="preserve">Trade union and professional bodies’ involvement </w:t>
      </w:r>
      <w:r w:rsidRPr="00E4604C">
        <w:t>- working with the whistleblower’s trade union representatives (and/or representatives of their professional body) must be discussed with them as soon as possible. If the whistleblower is happy with such contact</w:t>
      </w:r>
      <w:r w:rsidR="007D7A18">
        <w:t>,</w:t>
      </w:r>
      <w:r w:rsidRPr="00E4604C">
        <w:t xml:space="preserve"> then the coordinator must talk to the whistleblower’s local trade union representative or professional body representative as soon as possible. </w:t>
      </w:r>
    </w:p>
    <w:p w14:paraId="530F917C" w14:textId="71247993" w:rsidR="00E4604C" w:rsidRPr="00E4604C" w:rsidRDefault="00E4604C" w:rsidP="00E4604C">
      <w:pPr>
        <w:ind w:left="0"/>
      </w:pPr>
      <w:r w:rsidRPr="00E4604C">
        <w:t xml:space="preserve">In certain exceptional scenarios, it may be </w:t>
      </w:r>
      <w:r w:rsidR="007D7A18">
        <w:t>helpful</w:t>
      </w:r>
      <w:r w:rsidRPr="00E4604C">
        <w:t xml:space="preserve"> to include these representatives within the whistle-blowing team itself. This will make sure that the team considers the welfare and best interests of the whistleblower during what will undoubtedly be a stressful time for them. </w:t>
      </w:r>
    </w:p>
    <w:p w14:paraId="4E8E0053" w14:textId="2E08171B" w:rsidR="00E4604C" w:rsidRPr="00E4604C" w:rsidRDefault="00E4604C" w:rsidP="00E4604C">
      <w:pPr>
        <w:ind w:left="0"/>
      </w:pPr>
      <w:r w:rsidRPr="00E4604C">
        <w:t>In project meetings where confidential aspects relating to the investigation are to be discussed, it is recognised that this may lead to a conflict of interest for the trade union (e.g. if they are also the trade union for the person being investigated). In this case, the representatives must be left out of these particular discussions.</w:t>
      </w:r>
    </w:p>
    <w:p w14:paraId="3823AD7F" w14:textId="011D61E6" w:rsidR="00E4604C" w:rsidRPr="00E4604C" w:rsidRDefault="00E4604C" w:rsidP="00E4604C">
      <w:pPr>
        <w:ind w:left="0"/>
      </w:pPr>
      <w:r w:rsidRPr="00E4604C">
        <w:t xml:space="preserve">All representatives are accountable to the project team. If there is a conflict of interest, then the representative must withdraw from the project team. </w:t>
      </w:r>
    </w:p>
    <w:p w14:paraId="4BC3AF5D" w14:textId="77777777" w:rsidR="00E4604C" w:rsidRPr="007A57D0" w:rsidRDefault="00E4604C" w:rsidP="007A57D0">
      <w:pPr>
        <w:ind w:left="0"/>
        <w:rPr>
          <w:b/>
          <w:bCs/>
        </w:rPr>
      </w:pPr>
      <w:r w:rsidRPr="007A57D0">
        <w:rPr>
          <w:b/>
          <w:bCs/>
        </w:rPr>
        <w:t xml:space="preserve">Communications between the team and the whistleblower </w:t>
      </w:r>
    </w:p>
    <w:p w14:paraId="5E737C9C" w14:textId="6D8D30A0" w:rsidR="00E4604C" w:rsidRPr="00E4604C" w:rsidRDefault="00E4604C" w:rsidP="00E4604C">
      <w:pPr>
        <w:ind w:left="0"/>
      </w:pPr>
      <w:r w:rsidRPr="007A57D0">
        <w:rPr>
          <w:b/>
          <w:bCs/>
        </w:rPr>
        <w:t xml:space="preserve">The contact officer </w:t>
      </w:r>
      <w:r w:rsidR="006F7098">
        <w:t>–</w:t>
      </w:r>
      <w:r w:rsidRPr="00E4604C">
        <w:t xml:space="preserve"> one person within the team should be allocated to the whistleblower as the main point of contact. They will be the main resource for </w:t>
      </w:r>
      <w:r w:rsidRPr="00E4604C">
        <w:lastRenderedPageBreak/>
        <w:t xml:space="preserve">support and advice to the person. They will also provide the main link between the whistleblower and the project team if new issues arise. </w:t>
      </w:r>
    </w:p>
    <w:p w14:paraId="372075C8" w14:textId="4061D443" w:rsidR="00E4604C" w:rsidRPr="00E4604C" w:rsidRDefault="00E4604C" w:rsidP="00E4604C">
      <w:pPr>
        <w:ind w:left="0"/>
      </w:pPr>
      <w:r w:rsidRPr="00E4604C">
        <w:t xml:space="preserve">It is important that any person carrying out this difficult role receives appropriate training and support. Because the contact person who supports the whistleblower may suffer from ’reflected’ stress, the contact officer role should not be the same person for every whistleblowing case. </w:t>
      </w:r>
    </w:p>
    <w:p w14:paraId="4A3B8A47" w14:textId="0052374B" w:rsidR="00E4604C" w:rsidRPr="00E4604C" w:rsidRDefault="00E4604C" w:rsidP="00E4604C">
      <w:pPr>
        <w:ind w:left="0"/>
      </w:pPr>
      <w:r w:rsidRPr="00E4604C">
        <w:t xml:space="preserve">The co-ordinator should talk to the whistleblower about whether the contact officer is at the right level, compared to them. Ask if they feel comfortable liaising with someone who is senior to them, or whether they might find it easier to confide in someone who is at a similar level to themselves in the organisation. </w:t>
      </w:r>
    </w:p>
    <w:p w14:paraId="6934A6F9" w14:textId="047FEF9A" w:rsidR="00E4604C" w:rsidRPr="00E4604C" w:rsidRDefault="00E4604C" w:rsidP="00E4604C">
      <w:pPr>
        <w:ind w:left="0"/>
      </w:pPr>
      <w:r w:rsidRPr="00E4604C">
        <w:t xml:space="preserve">All potential contact officers should receive training in basic counselling. </w:t>
      </w:r>
    </w:p>
    <w:p w14:paraId="23F68EDA" w14:textId="77777777" w:rsidR="00E4604C" w:rsidRPr="007A57D0" w:rsidRDefault="00E4604C" w:rsidP="007A57D0">
      <w:pPr>
        <w:ind w:left="0"/>
        <w:rPr>
          <w:b/>
          <w:bCs/>
        </w:rPr>
      </w:pPr>
      <w:r w:rsidRPr="007A57D0">
        <w:rPr>
          <w:b/>
          <w:bCs/>
        </w:rPr>
        <w:t xml:space="preserve">Counselling </w:t>
      </w:r>
    </w:p>
    <w:p w14:paraId="6DE93A47" w14:textId="3183F337" w:rsidR="0088342A" w:rsidRDefault="00E4604C" w:rsidP="00E4604C">
      <w:pPr>
        <w:ind w:left="0"/>
      </w:pPr>
      <w:r w:rsidRPr="00E4604C">
        <w:t xml:space="preserve">Whistleblowing puts a lot of pressure on the </w:t>
      </w:r>
      <w:proofErr w:type="gramStart"/>
      <w:r w:rsidRPr="00E4604C">
        <w:t>whistleblower</w:t>
      </w:r>
      <w:proofErr w:type="gramEnd"/>
      <w:r w:rsidRPr="00E4604C">
        <w:t xml:space="preserve"> and they may need significant support. They should be regularly offered counselling. There are three main options for providing this. Either </w:t>
      </w:r>
    </w:p>
    <w:p w14:paraId="1508EFCC" w14:textId="0FBC8BE2" w:rsidR="0088342A" w:rsidRDefault="00E4604C">
      <w:pPr>
        <w:pStyle w:val="ListParagraph"/>
        <w:numPr>
          <w:ilvl w:val="0"/>
          <w:numId w:val="11"/>
        </w:numPr>
      </w:pPr>
      <w:r w:rsidRPr="00E4604C">
        <w:t xml:space="preserve">an outside counsellor commissioned by </w:t>
      </w:r>
      <w:r w:rsidR="007D7A18">
        <w:t xml:space="preserve">the ICB </w:t>
      </w:r>
      <w:r w:rsidRPr="00E4604C">
        <w:t>on an ad hoc basis</w:t>
      </w:r>
      <w:r w:rsidR="0088342A">
        <w:t>.</w:t>
      </w:r>
    </w:p>
    <w:p w14:paraId="713A5335" w14:textId="6C3D737B" w:rsidR="0088342A" w:rsidRDefault="00E4604C">
      <w:pPr>
        <w:pStyle w:val="ListParagraph"/>
        <w:numPr>
          <w:ilvl w:val="0"/>
          <w:numId w:val="11"/>
        </w:numPr>
      </w:pPr>
      <w:r w:rsidRPr="00E4604C">
        <w:t xml:space="preserve">a person who is part of a commissioned service that provides other counselling services on a regular basis to </w:t>
      </w:r>
      <w:r w:rsidR="007D7A18">
        <w:t>the ICB</w:t>
      </w:r>
      <w:r w:rsidR="0088342A">
        <w:t>.</w:t>
      </w:r>
    </w:p>
    <w:p w14:paraId="4498D3DE" w14:textId="77777777" w:rsidR="007D7A18" w:rsidRDefault="00E4604C">
      <w:pPr>
        <w:pStyle w:val="ListParagraph"/>
        <w:numPr>
          <w:ilvl w:val="0"/>
          <w:numId w:val="11"/>
        </w:numPr>
      </w:pPr>
      <w:r w:rsidRPr="00E4604C">
        <w:t xml:space="preserve">an internal counsellor who understands our ways of working but is one step removed from the whistle-blowing project team. </w:t>
      </w:r>
    </w:p>
    <w:p w14:paraId="33D394BD" w14:textId="3604C903" w:rsidR="00E4604C" w:rsidRPr="00E4604C" w:rsidRDefault="00E4604C" w:rsidP="007D7A18">
      <w:pPr>
        <w:ind w:left="0"/>
      </w:pPr>
      <w:r w:rsidRPr="00E4604C">
        <w:t xml:space="preserve">The decision will depend upon the needs of the individual and the cost and availability of resources. </w:t>
      </w:r>
    </w:p>
    <w:p w14:paraId="56FDDFDD" w14:textId="77777777" w:rsidR="00E4604C" w:rsidRPr="007A57D0" w:rsidRDefault="00E4604C" w:rsidP="007A57D0">
      <w:pPr>
        <w:ind w:left="0"/>
        <w:rPr>
          <w:b/>
          <w:bCs/>
        </w:rPr>
      </w:pPr>
      <w:r w:rsidRPr="007A57D0">
        <w:rPr>
          <w:b/>
          <w:bCs/>
        </w:rPr>
        <w:t xml:space="preserve">Planning the project and supporting the staff member </w:t>
      </w:r>
    </w:p>
    <w:p w14:paraId="11695605" w14:textId="666DE0B6" w:rsidR="00E4604C" w:rsidRPr="00E4604C" w:rsidRDefault="00E4604C" w:rsidP="00E4604C">
      <w:pPr>
        <w:ind w:left="0"/>
      </w:pPr>
      <w:r w:rsidRPr="007A57D0">
        <w:rPr>
          <w:b/>
          <w:bCs/>
        </w:rPr>
        <w:t xml:space="preserve">Plan of action </w:t>
      </w:r>
      <w:r w:rsidR="006F7098">
        <w:t>–</w:t>
      </w:r>
      <w:r w:rsidRPr="00E4604C">
        <w:t xml:space="preserve"> the project team must start by agreeing a project plan for dealing with the whistle-blowing situation. The plan must be flexible enough to deal with problems such as people not being available to interview, or not being able to get hold of documents and other evidence. The team must draw up key project milestones and timescales and give the whistleblower an outline of the plan and likely timescales. </w:t>
      </w:r>
    </w:p>
    <w:p w14:paraId="7FEAAB8F" w14:textId="58BF3D85" w:rsidR="00E4604C" w:rsidRPr="00E4604C" w:rsidRDefault="00E4604C" w:rsidP="00E4604C">
      <w:pPr>
        <w:ind w:left="0"/>
      </w:pPr>
      <w:r w:rsidRPr="007A57D0">
        <w:rPr>
          <w:b/>
          <w:bCs/>
        </w:rPr>
        <w:t>Frequency of contact</w:t>
      </w:r>
      <w:r w:rsidRPr="00E4604C">
        <w:t xml:space="preserve"> – the contact officer must contact the whistleblower regularly to keep them up to date and check their wellbeing. The whistleblower can make the contact if that is easier. Throughout the process, the whistleblower must be continually reminded that other support and counselling is available. They should be asked to be honest about their working environment so that they can work somewhere else if necessary. If that is the case, the contact officer must tell HR immediately, explaining about the whistle- blowing context, so they can go on the redeployment register to help find them alternative work. If HR is already part of the project team, then the HR representative will normally initiate this process. </w:t>
      </w:r>
    </w:p>
    <w:p w14:paraId="3C209FA1" w14:textId="20B6970E" w:rsidR="00E4604C" w:rsidRPr="00E4604C" w:rsidRDefault="00E4604C" w:rsidP="00E4604C">
      <w:pPr>
        <w:ind w:left="0"/>
      </w:pPr>
      <w:r w:rsidRPr="00AE4A94">
        <w:rPr>
          <w:b/>
          <w:bCs/>
        </w:rPr>
        <w:lastRenderedPageBreak/>
        <w:t>Progress updates</w:t>
      </w:r>
      <w:r w:rsidRPr="00E4604C">
        <w:t xml:space="preserve"> </w:t>
      </w:r>
      <w:r w:rsidR="006F7098">
        <w:t>–</w:t>
      </w:r>
      <w:r w:rsidRPr="00E4604C">
        <w:t xml:space="preserve"> the contact officer must keep the whistleblower informed about progress on the inquiry. They must support and reassure the whistleblower in this difficult period of their working lives. Such support may be even more important when the police are </w:t>
      </w:r>
      <w:proofErr w:type="gramStart"/>
      <w:r w:rsidR="00CD52D6" w:rsidRPr="00E4604C">
        <w:t>involved</w:t>
      </w:r>
      <w:proofErr w:type="gramEnd"/>
      <w:r w:rsidRPr="00E4604C">
        <w:t xml:space="preserve"> and the whistleblower may be involved in a long drawn out criminal process. </w:t>
      </w:r>
    </w:p>
    <w:p w14:paraId="164748AD" w14:textId="548B0BFF" w:rsidR="00E4604C" w:rsidRPr="00E4604C" w:rsidRDefault="00E4604C" w:rsidP="00E4604C">
      <w:pPr>
        <w:ind w:left="0"/>
      </w:pPr>
      <w:r w:rsidRPr="00AE4A94">
        <w:rPr>
          <w:b/>
          <w:bCs/>
        </w:rPr>
        <w:t xml:space="preserve">Outcomes </w:t>
      </w:r>
      <w:r w:rsidR="006F7098">
        <w:t>–</w:t>
      </w:r>
      <w:r w:rsidRPr="00E4604C">
        <w:t xml:space="preserve"> the whistleblower must be told the outcome of the investigation. They should again be offered counselling and support and an opportunity to discuss the impact of the investigation on their working arrangements. In many instances there will not be any repercussions or consequences. In others, the whistleblower may feel unable to return to their normal place of work because of the difficulties the investigation has created. </w:t>
      </w:r>
    </w:p>
    <w:p w14:paraId="0B5E1FD5" w14:textId="3893787D" w:rsidR="00E4604C" w:rsidRPr="00E4604C" w:rsidRDefault="00E4604C" w:rsidP="00E4604C">
      <w:pPr>
        <w:ind w:left="0"/>
      </w:pPr>
      <w:r w:rsidRPr="00AE4A94">
        <w:rPr>
          <w:b/>
          <w:bCs/>
        </w:rPr>
        <w:t>Finding alternative work</w:t>
      </w:r>
      <w:r w:rsidRPr="00E4604C">
        <w:t xml:space="preserve"> </w:t>
      </w:r>
      <w:r w:rsidR="006F7098">
        <w:t>–</w:t>
      </w:r>
      <w:r w:rsidRPr="00E4604C">
        <w:t xml:space="preserve"> if the whistleblower says that they want to work somewhere else, then, as long as they acted in good faith, </w:t>
      </w:r>
      <w:r w:rsidR="00333B65">
        <w:t xml:space="preserve">the ICB </w:t>
      </w:r>
      <w:r w:rsidRPr="00E4604C">
        <w:t xml:space="preserve">will do </w:t>
      </w:r>
      <w:r w:rsidR="00333B65">
        <w:t xml:space="preserve">its </w:t>
      </w:r>
      <w:r w:rsidRPr="00E4604C">
        <w:t xml:space="preserve">best to find them alternative employment within the organisation and at a similar grade and status. In this regard, whistleblowers will get priority – even above that given to potentially redundant employees who may be on the redeployment list. If finding suitable alternative employment is proving difficult, the whistleblower should be consulted about other options, such as opportunities working for other similar organisations. </w:t>
      </w:r>
    </w:p>
    <w:p w14:paraId="252D39E5" w14:textId="2C87BDD9" w:rsidR="00E4604C" w:rsidRPr="00E4604C" w:rsidRDefault="00E4604C" w:rsidP="00E4604C">
      <w:pPr>
        <w:ind w:left="0"/>
      </w:pPr>
      <w:r w:rsidRPr="00AE4A94">
        <w:rPr>
          <w:b/>
          <w:bCs/>
        </w:rPr>
        <w:t xml:space="preserve">Links with other employers </w:t>
      </w:r>
      <w:r w:rsidR="006F7098">
        <w:t>–</w:t>
      </w:r>
      <w:r w:rsidRPr="00E4604C">
        <w:t xml:space="preserve"> we may enter into reciprocal arrangements for establishing opportunities for whistleblowers employed by similar organisations. </w:t>
      </w:r>
    </w:p>
    <w:p w14:paraId="6A21AF2A" w14:textId="07D67CEE" w:rsidR="00E4604C" w:rsidRPr="00E4604C" w:rsidRDefault="00E4604C" w:rsidP="00E4604C">
      <w:pPr>
        <w:ind w:left="0"/>
      </w:pPr>
      <w:r w:rsidRPr="00E4604C">
        <w:t xml:space="preserve">Equality of opportunity requirements in the various organisations may mean that the person has to apply for permanent positions. To overcome this, we can consider temporary secondments to other organisations to help their placement. This will only be for as long as it takes to highlight appropriate vacant positions in </w:t>
      </w:r>
      <w:r w:rsidR="00333B65">
        <w:t>the ICB</w:t>
      </w:r>
      <w:r w:rsidRPr="00E4604C">
        <w:t xml:space="preserve">. </w:t>
      </w:r>
    </w:p>
    <w:p w14:paraId="0F78629B" w14:textId="26C3A377" w:rsidR="00E4604C" w:rsidRPr="00E4604C" w:rsidRDefault="00E4604C" w:rsidP="00E4604C">
      <w:pPr>
        <w:ind w:left="0"/>
      </w:pPr>
      <w:r w:rsidRPr="00E4604C">
        <w:t xml:space="preserve">Note: in reaching any reciprocal agreement, the current employing organisation must state in writing that they believe the whistleblower acted in good faith. </w:t>
      </w:r>
    </w:p>
    <w:p w14:paraId="3A1312FD" w14:textId="0B99E99E" w:rsidR="00E4604C" w:rsidRPr="00E4604C" w:rsidRDefault="00E4604C" w:rsidP="00E4604C">
      <w:pPr>
        <w:ind w:left="0"/>
      </w:pPr>
      <w:r w:rsidRPr="00AE4A94">
        <w:rPr>
          <w:b/>
          <w:bCs/>
        </w:rPr>
        <w:t>Providing emotional support</w:t>
      </w:r>
      <w:r w:rsidRPr="00E4604C">
        <w:t xml:space="preserve"> </w:t>
      </w:r>
      <w:r w:rsidR="006F7098">
        <w:t>–</w:t>
      </w:r>
      <w:r w:rsidRPr="00E4604C">
        <w:t xml:space="preserve"> the whistleblower must be made to feel confident and supported that their concerns are being treated seriously. They must not be allowed to feel isolated, </w:t>
      </w:r>
      <w:r w:rsidR="006F7098" w:rsidRPr="00E4604C">
        <w:t>unwanted,</w:t>
      </w:r>
      <w:r w:rsidR="00CD52D6">
        <w:t xml:space="preserve"> </w:t>
      </w:r>
      <w:r w:rsidRPr="00E4604C">
        <w:t xml:space="preserve">or unappreciated. At this period of their working life, issues that would normally be fairly mundane or straightforward can appear to the whistleblower to be much more important and more serious. The co-ordinator must make sure that basic counselling training is given to contact officers so that they can help the whistleblower to place such things in proper perspective. </w:t>
      </w:r>
    </w:p>
    <w:p w14:paraId="038A431E" w14:textId="14AB55C5" w:rsidR="00E4604C" w:rsidRPr="00E4604C" w:rsidRDefault="00E4604C" w:rsidP="00E4604C">
      <w:pPr>
        <w:ind w:left="0"/>
      </w:pPr>
      <w:r w:rsidRPr="00AE4A94">
        <w:rPr>
          <w:b/>
          <w:bCs/>
        </w:rPr>
        <w:t xml:space="preserve">Limits and boundaries to supporting the </w:t>
      </w:r>
      <w:r w:rsidR="006F7098" w:rsidRPr="00AE4A94">
        <w:rPr>
          <w:b/>
          <w:bCs/>
        </w:rPr>
        <w:t>whistleblower</w:t>
      </w:r>
      <w:r w:rsidRPr="00E4604C">
        <w:t xml:space="preserve"> </w:t>
      </w:r>
      <w:r w:rsidR="006F7098">
        <w:t>–</w:t>
      </w:r>
      <w:r w:rsidRPr="00E4604C">
        <w:t xml:space="preserve"> members of the whistleblowing team should ensure that boundaries are maintained to avoid any accusations that they have provided advice that could be construed as being against </w:t>
      </w:r>
      <w:r w:rsidR="00333B65">
        <w:t>the ICB’s</w:t>
      </w:r>
      <w:r w:rsidRPr="00E4604C">
        <w:t xml:space="preserve"> best interests. This is difficult, because they need to balance the need to support the person who made the whistle-blowing claims. Staff involved must beware of accidentally making comments in a supporting and empathetic role that may be seen as creating a potential conflict of interest or making an admission of liability on behalf of </w:t>
      </w:r>
      <w:r w:rsidR="00333B65">
        <w:t>the ICB</w:t>
      </w:r>
      <w:r w:rsidRPr="00E4604C">
        <w:t xml:space="preserve">. </w:t>
      </w:r>
    </w:p>
    <w:p w14:paraId="795F1766" w14:textId="5A5A17C7" w:rsidR="00E4604C" w:rsidRPr="00E4604C" w:rsidRDefault="00E4604C" w:rsidP="00E4604C">
      <w:pPr>
        <w:ind w:left="0"/>
      </w:pPr>
      <w:r w:rsidRPr="00AE4A94">
        <w:rPr>
          <w:b/>
          <w:bCs/>
        </w:rPr>
        <w:lastRenderedPageBreak/>
        <w:t xml:space="preserve">Links with external support agencies </w:t>
      </w:r>
      <w:r w:rsidRPr="00E4604C">
        <w:t xml:space="preserve">– </w:t>
      </w:r>
      <w:r w:rsidR="00333B65">
        <w:t xml:space="preserve">the ICB </w:t>
      </w:r>
      <w:r w:rsidRPr="00E4604C">
        <w:t xml:space="preserve">will develop links with charities such as Public Concern at Work. The contact officer will encourage the whistleblower to contact such organisations. They may also need to refer the whistleblower to occupational health. The whistleblower should be told about all of the counselling and support options and be regularly reminded about them throughout the project. These offers should be in writing and kept on file. </w:t>
      </w:r>
    </w:p>
    <w:p w14:paraId="23BC4F51" w14:textId="5D68AE64" w:rsidR="00E4604C" w:rsidRPr="00E4604C" w:rsidRDefault="00E4604C" w:rsidP="00E4604C">
      <w:pPr>
        <w:ind w:left="0"/>
      </w:pPr>
      <w:r w:rsidRPr="00AE4A94">
        <w:rPr>
          <w:b/>
          <w:bCs/>
        </w:rPr>
        <w:t>Support for partners and family</w:t>
      </w:r>
      <w:r w:rsidRPr="00E4604C">
        <w:t xml:space="preserve"> </w:t>
      </w:r>
      <w:r w:rsidR="006F7098">
        <w:t>–</w:t>
      </w:r>
      <w:r w:rsidRPr="00E4604C">
        <w:t xml:space="preserve"> if appropriate, counselling should also be offered </w:t>
      </w:r>
      <w:r w:rsidR="00914CDB">
        <w:t xml:space="preserve">to </w:t>
      </w:r>
      <w:r w:rsidRPr="00E4604C">
        <w:t xml:space="preserve">the </w:t>
      </w:r>
      <w:r w:rsidR="006F7098" w:rsidRPr="00E4604C">
        <w:t>whistle-blower’s</w:t>
      </w:r>
      <w:r w:rsidRPr="00E4604C">
        <w:t xml:space="preserve"> partner, if it appears that the whistleblowing is creating additional stress within the relationship. Any such instances should be authorised by the whistleblowing case manager. Counselling may also be offered to close family members living with the whistleblower at the discretion of the case manager. </w:t>
      </w:r>
    </w:p>
    <w:p w14:paraId="00937482" w14:textId="2AD558B1" w:rsidR="00E4604C" w:rsidRPr="00E4604C" w:rsidRDefault="00E4604C" w:rsidP="00E4604C">
      <w:pPr>
        <w:ind w:left="0"/>
      </w:pPr>
      <w:r w:rsidRPr="00AE4A94">
        <w:rPr>
          <w:b/>
          <w:bCs/>
        </w:rPr>
        <w:t>Whistleblower’s sickness</w:t>
      </w:r>
      <w:r w:rsidRPr="00E4604C">
        <w:t xml:space="preserve"> </w:t>
      </w:r>
      <w:r w:rsidR="006F7098">
        <w:t>–</w:t>
      </w:r>
      <w:r w:rsidRPr="00E4604C">
        <w:t xml:space="preserve"> if the whistleblower becomes ill with stress or anything that can be related to the whistle-blowing incident, then the contact officer should write to them, asking how they would like to be kept informed (telephone, letter, e-mail, through trade union or friends, etc).</w:t>
      </w:r>
    </w:p>
    <w:p w14:paraId="60E90ADB" w14:textId="6C49ECD9" w:rsidR="00E4604C" w:rsidRPr="00E4604C" w:rsidRDefault="00E4604C" w:rsidP="00E4604C">
      <w:pPr>
        <w:ind w:left="0"/>
      </w:pPr>
      <w:r w:rsidRPr="00E4604C">
        <w:t>If a whistleblower takes sickness absence from work, for matters related to the whistle</w:t>
      </w:r>
      <w:r w:rsidR="0088342A">
        <w:t>b</w:t>
      </w:r>
      <w:r w:rsidRPr="00E4604C">
        <w:t xml:space="preserve">lowing (usually anxiety or stress), then as soon as possible the payroll service should be told to continue full pay for the foreseeable future. The person will still be recorded as sick and will still need to provide proper documentation in support of their sickness (medical certificates). Another categorisation may be used to record this sickness. </w:t>
      </w:r>
    </w:p>
    <w:p w14:paraId="4035CBFE" w14:textId="72247C75" w:rsidR="00E4604C" w:rsidRPr="00E4604C" w:rsidRDefault="00E4604C" w:rsidP="00E4604C">
      <w:pPr>
        <w:ind w:left="0"/>
      </w:pPr>
      <w:r w:rsidRPr="00E4604C">
        <w:t>HR should make a note about how this sickness is reported to future employers. Whil</w:t>
      </w:r>
      <w:r w:rsidR="00333B65">
        <w:t>st the ICB</w:t>
      </w:r>
      <w:r w:rsidRPr="00E4604C">
        <w:t xml:space="preserve"> owes a duty of care to report the actual level of sickness, it should be provided with a note that given the unique circumstances, it ought to be put to one side for determining the person's normal sickness record</w:t>
      </w:r>
      <w:r w:rsidR="0088342A">
        <w:t>.</w:t>
      </w:r>
    </w:p>
    <w:sectPr w:rsidR="00E4604C" w:rsidRPr="00E4604C" w:rsidSect="00320315">
      <w:pgSz w:w="11906" w:h="16838"/>
      <w:pgMar w:top="1985" w:right="1440" w:bottom="1797"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5689D" w14:textId="77777777" w:rsidR="00A244CF" w:rsidRDefault="00A244CF" w:rsidP="00EB783D">
      <w:pPr>
        <w:spacing w:before="0" w:after="0"/>
      </w:pPr>
      <w:r>
        <w:separator/>
      </w:r>
    </w:p>
  </w:endnote>
  <w:endnote w:type="continuationSeparator" w:id="0">
    <w:p w14:paraId="34FBB976" w14:textId="77777777" w:rsidR="00A244CF" w:rsidRDefault="00A244C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7D214C71" w:rsidR="00CE2784" w:rsidRPr="00846A1E" w:rsidRDefault="0078058B" w:rsidP="00815B15">
    <w:pPr>
      <w:pStyle w:val="Footer"/>
      <w:ind w:left="0" w:hanging="709"/>
      <w:rPr>
        <w:sz w:val="22"/>
        <w:szCs w:val="22"/>
      </w:rPr>
    </w:pPr>
    <w:r>
      <w:rPr>
        <w:sz w:val="22"/>
        <w:szCs w:val="22"/>
      </w:rPr>
      <w:t xml:space="preserve">Freedom to Speak Up/ Whistleblowing Policy </w:t>
    </w:r>
    <w:r w:rsidR="00A61868">
      <w:rPr>
        <w:sz w:val="22"/>
        <w:szCs w:val="22"/>
      </w:rPr>
      <w:t>V1.</w:t>
    </w:r>
    <w:r w:rsidR="008320CF">
      <w:rPr>
        <w:sz w:val="22"/>
        <w:szCs w:val="22"/>
      </w:rPr>
      <w:t>1</w:t>
    </w:r>
    <w:r w:rsidR="00CE2784" w:rsidRPr="00846A1E">
      <w:rPr>
        <w:sz w:val="22"/>
        <w:szCs w:val="22"/>
      </w:rPr>
      <w:tab/>
    </w:r>
    <w:r w:rsidR="00CE2784">
      <w:rPr>
        <w:sz w:val="22"/>
        <w:szCs w:val="22"/>
      </w:rPr>
      <w:tab/>
    </w:r>
    <w:r w:rsidR="00CE2784" w:rsidRPr="00846A1E">
      <w:rPr>
        <w:sz w:val="22"/>
        <w:szCs w:val="22"/>
      </w:rPr>
      <w:t xml:space="preserve">Page </w:t>
    </w:r>
    <w:r w:rsidR="00CE2784" w:rsidRPr="00846A1E">
      <w:rPr>
        <w:sz w:val="22"/>
        <w:szCs w:val="22"/>
      </w:rPr>
      <w:fldChar w:fldCharType="begin"/>
    </w:r>
    <w:r w:rsidR="00CE2784" w:rsidRPr="00846A1E">
      <w:rPr>
        <w:sz w:val="22"/>
        <w:szCs w:val="22"/>
      </w:rPr>
      <w:instrText xml:space="preserve"> PAGE </w:instrText>
    </w:r>
    <w:r w:rsidR="00CE2784" w:rsidRPr="00846A1E">
      <w:rPr>
        <w:sz w:val="22"/>
        <w:szCs w:val="22"/>
      </w:rPr>
      <w:fldChar w:fldCharType="separate"/>
    </w:r>
    <w:r w:rsidR="00CE2784" w:rsidRPr="00846A1E">
      <w:rPr>
        <w:sz w:val="22"/>
        <w:szCs w:val="22"/>
      </w:rPr>
      <w:t>2</w:t>
    </w:r>
    <w:r w:rsidR="00CE2784" w:rsidRPr="00846A1E">
      <w:rPr>
        <w:sz w:val="22"/>
        <w:szCs w:val="22"/>
      </w:rPr>
      <w:fldChar w:fldCharType="end"/>
    </w:r>
    <w:r w:rsidR="00CE2784" w:rsidRPr="00846A1E">
      <w:rPr>
        <w:sz w:val="22"/>
        <w:szCs w:val="22"/>
      </w:rPr>
      <w:t xml:space="preserve"> of </w:t>
    </w:r>
    <w:proofErr w:type="gramStart"/>
    <w:r w:rsidR="00CD52D6">
      <w:rPr>
        <w:sz w:val="22"/>
        <w:szCs w:val="22"/>
      </w:rPr>
      <w:t>2</w:t>
    </w:r>
    <w:r w:rsidR="006F7098">
      <w:rPr>
        <w:sz w:val="22"/>
        <w:szCs w:val="22"/>
      </w:rPr>
      <w:t>6</w:t>
    </w:r>
    <w:proofErr w:type="gramEnd"/>
  </w:p>
  <w:p w14:paraId="1898E6E5" w14:textId="77777777" w:rsidR="00B84383" w:rsidRDefault="00B84383" w:rsidP="00B13E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62C35" w14:textId="77777777" w:rsidR="00A244CF" w:rsidRDefault="00A244CF" w:rsidP="00EB783D">
      <w:pPr>
        <w:spacing w:before="0" w:after="0"/>
      </w:pPr>
      <w:r>
        <w:separator/>
      </w:r>
    </w:p>
  </w:footnote>
  <w:footnote w:type="continuationSeparator" w:id="0">
    <w:p w14:paraId="49AFD55A" w14:textId="77777777" w:rsidR="00A244CF" w:rsidRDefault="00A244CF"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0B40AED" w:rsidR="00CE2784" w:rsidRDefault="00CE2784"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3C480632" w:rsidR="00CE2784" w:rsidRDefault="00CE2784">
    <w:pPr>
      <w:pStyle w:val="Header"/>
    </w:pPr>
    <w:r>
      <w:rPr>
        <w:noProof/>
      </w:rPr>
      <mc:AlternateContent>
        <mc:Choice Requires="wpg">
          <w:drawing>
            <wp:anchor distT="0" distB="0" distL="114300" distR="114300" simplePos="0" relativeHeight="251657216" behindDoc="0" locked="0" layoutInCell="1" allowOverlap="1" wp14:anchorId="13C295F1" wp14:editId="545009EB">
              <wp:simplePos x="0" y="0"/>
              <wp:positionH relativeFrom="column">
                <wp:posOffset>-76200</wp:posOffset>
              </wp:positionH>
              <wp:positionV relativeFrom="paragraph">
                <wp:posOffset>-373380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71A97B14" id="Group 3" o:spid="_x0000_s1026" style="position:absolute;margin-left:-6pt;margin-top:-29.4pt;width:470.55pt;height:61.25pt;z-index:251657216"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3C7140"/>
    <w:multiLevelType w:val="hybridMultilevel"/>
    <w:tmpl w:val="056EAFA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A061E20"/>
    <w:multiLevelType w:val="multilevel"/>
    <w:tmpl w:val="7EFAA7BC"/>
    <w:lvl w:ilvl="0">
      <w:start w:val="1"/>
      <w:numFmt w:val="decimal"/>
      <w:lvlText w:val="%1."/>
      <w:lvlJc w:val="left"/>
      <w:pPr>
        <w:ind w:left="1134" w:hanging="1134"/>
      </w:pPr>
      <w:rPr>
        <w:rFonts w:hint="default"/>
      </w:rPr>
    </w:lvl>
    <w:lvl w:ilvl="1">
      <w:start w:val="1"/>
      <w:numFmt w:val="decimal"/>
      <w:pStyle w:val="Style5"/>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E03E70"/>
    <w:multiLevelType w:val="hybridMultilevel"/>
    <w:tmpl w:val="FAE0F524"/>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4" w15:restartNumberingAfterBreak="0">
    <w:nsid w:val="23122974"/>
    <w:multiLevelType w:val="hybridMultilevel"/>
    <w:tmpl w:val="F7DAE848"/>
    <w:lvl w:ilvl="0" w:tplc="B404731A">
      <w:start w:val="1"/>
      <w:numFmt w:val="decimal"/>
      <w:pStyle w:val="Style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AA1BC4"/>
    <w:multiLevelType w:val="hybridMultilevel"/>
    <w:tmpl w:val="B1DCEA1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763885"/>
    <w:multiLevelType w:val="hybridMultilevel"/>
    <w:tmpl w:val="9814B2B0"/>
    <w:lvl w:ilvl="0" w:tplc="EE8627E4">
      <w:start w:val="6"/>
      <w:numFmt w:val="bullet"/>
      <w:lvlText w:val="-"/>
      <w:lvlJc w:val="left"/>
      <w:pPr>
        <w:ind w:left="2214" w:hanging="360"/>
      </w:pPr>
      <w:rPr>
        <w:rFonts w:ascii="Arial" w:eastAsiaTheme="minorHAnsi" w:hAnsi="Arial" w:cs="Aria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10"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C32715"/>
    <w:multiLevelType w:val="hybridMultilevel"/>
    <w:tmpl w:val="4A8A1D4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388A3BF1"/>
    <w:multiLevelType w:val="hybridMultilevel"/>
    <w:tmpl w:val="A6C8E2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411E606C"/>
    <w:multiLevelType w:val="hybridMultilevel"/>
    <w:tmpl w:val="D5BA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343233"/>
    <w:multiLevelType w:val="multilevel"/>
    <w:tmpl w:val="370EA0D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bCs/>
        <w:sz w:val="24"/>
        <w:szCs w:val="24"/>
      </w:rPr>
    </w:lvl>
    <w:lvl w:ilvl="2">
      <w:start w:val="1"/>
      <w:numFmt w:val="decimal"/>
      <w:pStyle w:val="Style2"/>
      <w:lvlText w:val="%1.%2.%3."/>
      <w:lvlJc w:val="left"/>
      <w:pPr>
        <w:ind w:left="1134" w:hanging="1134"/>
      </w:pPr>
      <w:rPr>
        <w:rFonts w:hint="default"/>
        <w:b w:val="0"/>
        <w:bCs w:val="0"/>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D79715F"/>
    <w:multiLevelType w:val="hybridMultilevel"/>
    <w:tmpl w:val="4B2C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9D27E1"/>
    <w:multiLevelType w:val="hybridMultilevel"/>
    <w:tmpl w:val="F42CF7CC"/>
    <w:lvl w:ilvl="0" w:tplc="CDF486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15705DF"/>
    <w:multiLevelType w:val="hybridMultilevel"/>
    <w:tmpl w:val="DA6CD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1593D14"/>
    <w:multiLevelType w:val="multilevel"/>
    <w:tmpl w:val="D8A4881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764C28"/>
    <w:multiLevelType w:val="hybridMultilevel"/>
    <w:tmpl w:val="710C52CA"/>
    <w:lvl w:ilvl="0" w:tplc="074643BE">
      <w:start w:val="1"/>
      <w:numFmt w:val="bullet"/>
      <w:pStyle w:val="ListParagraph"/>
      <w:lvlText w:val=""/>
      <w:lvlJc w:val="left"/>
      <w:pPr>
        <w:ind w:left="190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6614236">
    <w:abstractNumId w:val="14"/>
  </w:num>
  <w:num w:numId="2" w16cid:durableId="253830129">
    <w:abstractNumId w:val="19"/>
  </w:num>
  <w:num w:numId="3" w16cid:durableId="1938249613">
    <w:abstractNumId w:val="22"/>
  </w:num>
  <w:num w:numId="4" w16cid:durableId="357437740">
    <w:abstractNumId w:val="5"/>
  </w:num>
  <w:num w:numId="5" w16cid:durableId="987051712">
    <w:abstractNumId w:val="18"/>
  </w:num>
  <w:num w:numId="6" w16cid:durableId="1377924178">
    <w:abstractNumId w:val="20"/>
  </w:num>
  <w:num w:numId="7" w16cid:durableId="211117056">
    <w:abstractNumId w:val="8"/>
  </w:num>
  <w:num w:numId="8" w16cid:durableId="212817207">
    <w:abstractNumId w:val="24"/>
  </w:num>
  <w:num w:numId="9" w16cid:durableId="721632769">
    <w:abstractNumId w:val="0"/>
  </w:num>
  <w:num w:numId="10" w16cid:durableId="417792095">
    <w:abstractNumId w:val="15"/>
  </w:num>
  <w:num w:numId="11" w16cid:durableId="75051817">
    <w:abstractNumId w:val="17"/>
  </w:num>
  <w:num w:numId="12" w16cid:durableId="1112091795">
    <w:abstractNumId w:val="4"/>
  </w:num>
  <w:num w:numId="13" w16cid:durableId="764419223">
    <w:abstractNumId w:val="2"/>
  </w:num>
  <w:num w:numId="14" w16cid:durableId="692879030">
    <w:abstractNumId w:val="13"/>
  </w:num>
  <w:num w:numId="15" w16cid:durableId="1227034217">
    <w:abstractNumId w:val="16"/>
  </w:num>
  <w:num w:numId="16" w16cid:durableId="30881596">
    <w:abstractNumId w:val="21"/>
  </w:num>
  <w:num w:numId="17" w16cid:durableId="1661351690">
    <w:abstractNumId w:val="10"/>
  </w:num>
  <w:num w:numId="18" w16cid:durableId="2001107060">
    <w:abstractNumId w:val="7"/>
  </w:num>
  <w:num w:numId="19" w16cid:durableId="1600215736">
    <w:abstractNumId w:val="1"/>
  </w:num>
  <w:num w:numId="20" w16cid:durableId="43873719">
    <w:abstractNumId w:val="12"/>
  </w:num>
  <w:num w:numId="21" w16cid:durableId="1291088669">
    <w:abstractNumId w:val="9"/>
  </w:num>
  <w:num w:numId="22" w16cid:durableId="1643928696">
    <w:abstractNumId w:val="6"/>
  </w:num>
  <w:num w:numId="23" w16cid:durableId="1975065432">
    <w:abstractNumId w:val="11"/>
  </w:num>
  <w:num w:numId="24" w16cid:durableId="729424741">
    <w:abstractNumId w:val="23"/>
  </w:num>
  <w:num w:numId="25" w16cid:durableId="74085150">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CD6"/>
    <w:rsid w:val="00005E44"/>
    <w:rsid w:val="00010F31"/>
    <w:rsid w:val="000130B1"/>
    <w:rsid w:val="000211D0"/>
    <w:rsid w:val="000249C1"/>
    <w:rsid w:val="0002762B"/>
    <w:rsid w:val="00032882"/>
    <w:rsid w:val="00033ADA"/>
    <w:rsid w:val="00040717"/>
    <w:rsid w:val="00043AEB"/>
    <w:rsid w:val="00046DF4"/>
    <w:rsid w:val="00047E29"/>
    <w:rsid w:val="00053CDD"/>
    <w:rsid w:val="000665B0"/>
    <w:rsid w:val="00094FB7"/>
    <w:rsid w:val="000A38BE"/>
    <w:rsid w:val="000B4D05"/>
    <w:rsid w:val="000C254A"/>
    <w:rsid w:val="000D6731"/>
    <w:rsid w:val="000E18CD"/>
    <w:rsid w:val="000E7402"/>
    <w:rsid w:val="000F560D"/>
    <w:rsid w:val="00105989"/>
    <w:rsid w:val="00107C9B"/>
    <w:rsid w:val="001118C0"/>
    <w:rsid w:val="00121516"/>
    <w:rsid w:val="00124710"/>
    <w:rsid w:val="0012665D"/>
    <w:rsid w:val="00134368"/>
    <w:rsid w:val="001358D5"/>
    <w:rsid w:val="00136C91"/>
    <w:rsid w:val="001372BC"/>
    <w:rsid w:val="00137B4C"/>
    <w:rsid w:val="00143F39"/>
    <w:rsid w:val="001456DB"/>
    <w:rsid w:val="00147401"/>
    <w:rsid w:val="001677BE"/>
    <w:rsid w:val="001679D4"/>
    <w:rsid w:val="001753F9"/>
    <w:rsid w:val="00182901"/>
    <w:rsid w:val="0018348A"/>
    <w:rsid w:val="00184DE1"/>
    <w:rsid w:val="00186694"/>
    <w:rsid w:val="001921BF"/>
    <w:rsid w:val="001946F0"/>
    <w:rsid w:val="001B214F"/>
    <w:rsid w:val="001C45F5"/>
    <w:rsid w:val="001D2701"/>
    <w:rsid w:val="001D72C7"/>
    <w:rsid w:val="001E3ABC"/>
    <w:rsid w:val="001F5052"/>
    <w:rsid w:val="00201DAA"/>
    <w:rsid w:val="00203597"/>
    <w:rsid w:val="00206719"/>
    <w:rsid w:val="00213C51"/>
    <w:rsid w:val="00225AB9"/>
    <w:rsid w:val="00235578"/>
    <w:rsid w:val="0024086A"/>
    <w:rsid w:val="002416CE"/>
    <w:rsid w:val="002443F3"/>
    <w:rsid w:val="00244EC7"/>
    <w:rsid w:val="00250FB0"/>
    <w:rsid w:val="00254FFE"/>
    <w:rsid w:val="00255EF4"/>
    <w:rsid w:val="00261BC9"/>
    <w:rsid w:val="0028708F"/>
    <w:rsid w:val="00292980"/>
    <w:rsid w:val="002A1B2C"/>
    <w:rsid w:val="002A44FE"/>
    <w:rsid w:val="002F2E8F"/>
    <w:rsid w:val="0031189D"/>
    <w:rsid w:val="00320315"/>
    <w:rsid w:val="00321BB8"/>
    <w:rsid w:val="00324D0B"/>
    <w:rsid w:val="00331F09"/>
    <w:rsid w:val="00333B65"/>
    <w:rsid w:val="00343A4F"/>
    <w:rsid w:val="00352461"/>
    <w:rsid w:val="003528B5"/>
    <w:rsid w:val="0037055C"/>
    <w:rsid w:val="00371605"/>
    <w:rsid w:val="003716AE"/>
    <w:rsid w:val="00375DF6"/>
    <w:rsid w:val="003771EC"/>
    <w:rsid w:val="003806ED"/>
    <w:rsid w:val="00387089"/>
    <w:rsid w:val="003A0076"/>
    <w:rsid w:val="003A663C"/>
    <w:rsid w:val="003C65F0"/>
    <w:rsid w:val="003C6732"/>
    <w:rsid w:val="003C6E42"/>
    <w:rsid w:val="003D5B97"/>
    <w:rsid w:val="003E4C68"/>
    <w:rsid w:val="003F60DA"/>
    <w:rsid w:val="004022B3"/>
    <w:rsid w:val="00407774"/>
    <w:rsid w:val="004175E3"/>
    <w:rsid w:val="00440C4E"/>
    <w:rsid w:val="00444772"/>
    <w:rsid w:val="0048254D"/>
    <w:rsid w:val="004A1ADD"/>
    <w:rsid w:val="004A2260"/>
    <w:rsid w:val="004A4C30"/>
    <w:rsid w:val="004B5DB6"/>
    <w:rsid w:val="004B6E32"/>
    <w:rsid w:val="004C6BDF"/>
    <w:rsid w:val="004D6BC5"/>
    <w:rsid w:val="004D797D"/>
    <w:rsid w:val="004E4D8C"/>
    <w:rsid w:val="00514203"/>
    <w:rsid w:val="00537398"/>
    <w:rsid w:val="00546A28"/>
    <w:rsid w:val="00550496"/>
    <w:rsid w:val="00562866"/>
    <w:rsid w:val="00571666"/>
    <w:rsid w:val="00571CEC"/>
    <w:rsid w:val="005775E2"/>
    <w:rsid w:val="00587B36"/>
    <w:rsid w:val="005B0544"/>
    <w:rsid w:val="005C0E7A"/>
    <w:rsid w:val="005C78FD"/>
    <w:rsid w:val="00610177"/>
    <w:rsid w:val="00613073"/>
    <w:rsid w:val="006134A1"/>
    <w:rsid w:val="00613925"/>
    <w:rsid w:val="006149D1"/>
    <w:rsid w:val="00622DE6"/>
    <w:rsid w:val="00643521"/>
    <w:rsid w:val="00656098"/>
    <w:rsid w:val="00660674"/>
    <w:rsid w:val="006606C1"/>
    <w:rsid w:val="006618C6"/>
    <w:rsid w:val="00665C85"/>
    <w:rsid w:val="0068694C"/>
    <w:rsid w:val="00691D96"/>
    <w:rsid w:val="00693972"/>
    <w:rsid w:val="00695605"/>
    <w:rsid w:val="006A1F33"/>
    <w:rsid w:val="006A3B30"/>
    <w:rsid w:val="006B3E9C"/>
    <w:rsid w:val="006F61CF"/>
    <w:rsid w:val="006F7098"/>
    <w:rsid w:val="00706434"/>
    <w:rsid w:val="00716D9A"/>
    <w:rsid w:val="00732AFE"/>
    <w:rsid w:val="00741D9B"/>
    <w:rsid w:val="0074310A"/>
    <w:rsid w:val="00744B9C"/>
    <w:rsid w:val="00744E44"/>
    <w:rsid w:val="007611A1"/>
    <w:rsid w:val="00773A7F"/>
    <w:rsid w:val="0078058B"/>
    <w:rsid w:val="00781F15"/>
    <w:rsid w:val="0079014F"/>
    <w:rsid w:val="007A57D0"/>
    <w:rsid w:val="007B5ECF"/>
    <w:rsid w:val="007B7EBC"/>
    <w:rsid w:val="007C44CC"/>
    <w:rsid w:val="007D1C56"/>
    <w:rsid w:val="007D4141"/>
    <w:rsid w:val="007D7A18"/>
    <w:rsid w:val="00800E5A"/>
    <w:rsid w:val="00815B15"/>
    <w:rsid w:val="00826D33"/>
    <w:rsid w:val="00827BE2"/>
    <w:rsid w:val="008320CF"/>
    <w:rsid w:val="008344D6"/>
    <w:rsid w:val="00843CF9"/>
    <w:rsid w:val="00844D34"/>
    <w:rsid w:val="00845DAF"/>
    <w:rsid w:val="00846718"/>
    <w:rsid w:val="00846A1E"/>
    <w:rsid w:val="008507F0"/>
    <w:rsid w:val="00856A53"/>
    <w:rsid w:val="00856E84"/>
    <w:rsid w:val="00870DDB"/>
    <w:rsid w:val="008826D3"/>
    <w:rsid w:val="0088342A"/>
    <w:rsid w:val="00891F41"/>
    <w:rsid w:val="00897E1C"/>
    <w:rsid w:val="008B0C55"/>
    <w:rsid w:val="008B1BD3"/>
    <w:rsid w:val="008B53CA"/>
    <w:rsid w:val="008D034C"/>
    <w:rsid w:val="008D62EA"/>
    <w:rsid w:val="008D674D"/>
    <w:rsid w:val="008E4397"/>
    <w:rsid w:val="00906B1A"/>
    <w:rsid w:val="009102C2"/>
    <w:rsid w:val="00911C7E"/>
    <w:rsid w:val="00914CDB"/>
    <w:rsid w:val="00921DF3"/>
    <w:rsid w:val="00924A7F"/>
    <w:rsid w:val="0094087C"/>
    <w:rsid w:val="00952D00"/>
    <w:rsid w:val="00954273"/>
    <w:rsid w:val="00962136"/>
    <w:rsid w:val="0096475D"/>
    <w:rsid w:val="00967546"/>
    <w:rsid w:val="00967A61"/>
    <w:rsid w:val="00971FA0"/>
    <w:rsid w:val="00976004"/>
    <w:rsid w:val="00982BBE"/>
    <w:rsid w:val="00990790"/>
    <w:rsid w:val="00991344"/>
    <w:rsid w:val="009A41A4"/>
    <w:rsid w:val="009A7716"/>
    <w:rsid w:val="009A77C9"/>
    <w:rsid w:val="009B38D4"/>
    <w:rsid w:val="009C4957"/>
    <w:rsid w:val="009C506B"/>
    <w:rsid w:val="009C523D"/>
    <w:rsid w:val="009C7E4D"/>
    <w:rsid w:val="009C7FDE"/>
    <w:rsid w:val="009D1227"/>
    <w:rsid w:val="009E1F59"/>
    <w:rsid w:val="009F46DD"/>
    <w:rsid w:val="009F76DB"/>
    <w:rsid w:val="00A145D8"/>
    <w:rsid w:val="00A16E5D"/>
    <w:rsid w:val="00A23003"/>
    <w:rsid w:val="00A23AA4"/>
    <w:rsid w:val="00A244CF"/>
    <w:rsid w:val="00A413D8"/>
    <w:rsid w:val="00A61868"/>
    <w:rsid w:val="00A761AE"/>
    <w:rsid w:val="00A8588E"/>
    <w:rsid w:val="00A9291F"/>
    <w:rsid w:val="00A95650"/>
    <w:rsid w:val="00A95749"/>
    <w:rsid w:val="00A976E2"/>
    <w:rsid w:val="00AC4211"/>
    <w:rsid w:val="00AD457A"/>
    <w:rsid w:val="00AE3317"/>
    <w:rsid w:val="00AE4A94"/>
    <w:rsid w:val="00AE4B3E"/>
    <w:rsid w:val="00B018E6"/>
    <w:rsid w:val="00B025D8"/>
    <w:rsid w:val="00B047A2"/>
    <w:rsid w:val="00B069B3"/>
    <w:rsid w:val="00B12850"/>
    <w:rsid w:val="00B13E4E"/>
    <w:rsid w:val="00B218EE"/>
    <w:rsid w:val="00B24E7F"/>
    <w:rsid w:val="00B31CD9"/>
    <w:rsid w:val="00B420E7"/>
    <w:rsid w:val="00B44DBA"/>
    <w:rsid w:val="00B54031"/>
    <w:rsid w:val="00B563F8"/>
    <w:rsid w:val="00B74953"/>
    <w:rsid w:val="00B80EAE"/>
    <w:rsid w:val="00B83883"/>
    <w:rsid w:val="00B84383"/>
    <w:rsid w:val="00B87578"/>
    <w:rsid w:val="00B901CD"/>
    <w:rsid w:val="00BD25DD"/>
    <w:rsid w:val="00BD7AA4"/>
    <w:rsid w:val="00C07658"/>
    <w:rsid w:val="00C31806"/>
    <w:rsid w:val="00C4088C"/>
    <w:rsid w:val="00C408D2"/>
    <w:rsid w:val="00C559B3"/>
    <w:rsid w:val="00C650D4"/>
    <w:rsid w:val="00C72F9C"/>
    <w:rsid w:val="00C819CD"/>
    <w:rsid w:val="00C84931"/>
    <w:rsid w:val="00CA294E"/>
    <w:rsid w:val="00CA2ED9"/>
    <w:rsid w:val="00CD0D62"/>
    <w:rsid w:val="00CD52D6"/>
    <w:rsid w:val="00CE2784"/>
    <w:rsid w:val="00CF139E"/>
    <w:rsid w:val="00CF381D"/>
    <w:rsid w:val="00D126D6"/>
    <w:rsid w:val="00D16D88"/>
    <w:rsid w:val="00D26B6F"/>
    <w:rsid w:val="00D441B5"/>
    <w:rsid w:val="00D47578"/>
    <w:rsid w:val="00D56619"/>
    <w:rsid w:val="00D56929"/>
    <w:rsid w:val="00D627A4"/>
    <w:rsid w:val="00D73D89"/>
    <w:rsid w:val="00D740E7"/>
    <w:rsid w:val="00D7524B"/>
    <w:rsid w:val="00D85120"/>
    <w:rsid w:val="00D9038F"/>
    <w:rsid w:val="00DB4FC6"/>
    <w:rsid w:val="00DB577D"/>
    <w:rsid w:val="00DB6C48"/>
    <w:rsid w:val="00DB71AA"/>
    <w:rsid w:val="00DD7B4B"/>
    <w:rsid w:val="00DE3EFB"/>
    <w:rsid w:val="00DE53EE"/>
    <w:rsid w:val="00DF204D"/>
    <w:rsid w:val="00E23D89"/>
    <w:rsid w:val="00E30E4A"/>
    <w:rsid w:val="00E34376"/>
    <w:rsid w:val="00E36706"/>
    <w:rsid w:val="00E43889"/>
    <w:rsid w:val="00E4604C"/>
    <w:rsid w:val="00E662FC"/>
    <w:rsid w:val="00E875E7"/>
    <w:rsid w:val="00E90CB2"/>
    <w:rsid w:val="00EB2028"/>
    <w:rsid w:val="00EB3F99"/>
    <w:rsid w:val="00EB44FF"/>
    <w:rsid w:val="00EB783D"/>
    <w:rsid w:val="00EC2E35"/>
    <w:rsid w:val="00EC6D6B"/>
    <w:rsid w:val="00ED7A74"/>
    <w:rsid w:val="00EE3CD1"/>
    <w:rsid w:val="00F002CC"/>
    <w:rsid w:val="00F13D59"/>
    <w:rsid w:val="00F14060"/>
    <w:rsid w:val="00F14F7D"/>
    <w:rsid w:val="00F20894"/>
    <w:rsid w:val="00F31CEE"/>
    <w:rsid w:val="00F52696"/>
    <w:rsid w:val="00F82C96"/>
    <w:rsid w:val="00F83BFF"/>
    <w:rsid w:val="00F87AEA"/>
    <w:rsid w:val="00F913CD"/>
    <w:rsid w:val="00F928C7"/>
    <w:rsid w:val="00F962D6"/>
    <w:rsid w:val="00FA4F8B"/>
    <w:rsid w:val="00FB37AB"/>
    <w:rsid w:val="00FB3C48"/>
    <w:rsid w:val="00FC400E"/>
    <w:rsid w:val="00FC7C60"/>
    <w:rsid w:val="00FD01E2"/>
    <w:rsid w:val="00FD1273"/>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16"/>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7524B"/>
    <w:pPr>
      <w:keepNext/>
      <w:keepLines/>
      <w:numPr>
        <w:numId w:val="1"/>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A761AE"/>
    <w:pPr>
      <w:widowControl w:val="0"/>
      <w:numPr>
        <w:ilvl w:val="1"/>
        <w:numId w:val="1"/>
      </w:numPr>
      <w:ind w:right="-46"/>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D7524B"/>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A761AE"/>
    <w:rPr>
      <w:rFonts w:asciiTheme="majorHAnsi" w:eastAsiaTheme="majorEastAsia" w:hAnsiTheme="majorHAnsi" w:cstheme="majorBidi"/>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link w:val="Style2Char"/>
    <w:rsid w:val="0074310A"/>
    <w:pPr>
      <w:numPr>
        <w:ilvl w:val="2"/>
        <w:numId w:val="1"/>
      </w:numPr>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134368"/>
    <w:pPr>
      <w:tabs>
        <w:tab w:val="left" w:pos="720"/>
        <w:tab w:val="right" w:leader="underscore" w:pos="9475"/>
      </w:tabs>
      <w:spacing w:after="100"/>
      <w:ind w:hanging="1134"/>
    </w:pPr>
    <w:rPr>
      <w:b/>
    </w:rPr>
  </w:style>
  <w:style w:type="paragraph" w:styleId="TOC2">
    <w:name w:val="toc 2"/>
    <w:basedOn w:val="Normal"/>
    <w:next w:val="Normal"/>
    <w:autoRedefine/>
    <w:uiPriority w:val="39"/>
    <w:unhideWhenUsed/>
    <w:rsid w:val="00134368"/>
    <w:pPr>
      <w:tabs>
        <w:tab w:val="right" w:leader="underscore" w:pos="9465"/>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rsid w:val="009C506B"/>
    <w:rPr>
      <w:b/>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74310A"/>
    <w:rPr>
      <w:color w:val="605E5C"/>
      <w:shd w:val="clear" w:color="auto" w:fill="E1DFDD"/>
    </w:rPr>
  </w:style>
  <w:style w:type="character" w:styleId="FollowedHyperlink">
    <w:name w:val="FollowedHyperlink"/>
    <w:basedOn w:val="DefaultParagraphFont"/>
    <w:uiPriority w:val="99"/>
    <w:semiHidden/>
    <w:unhideWhenUsed/>
    <w:rsid w:val="00693972"/>
    <w:rPr>
      <w:color w:val="00A399" w:themeColor="followedHyperlink"/>
      <w:u w:val="single"/>
    </w:rPr>
  </w:style>
  <w:style w:type="paragraph" w:styleId="FootnoteText">
    <w:name w:val="footnote text"/>
    <w:basedOn w:val="Normal"/>
    <w:link w:val="FootnoteTextChar"/>
    <w:uiPriority w:val="99"/>
    <w:semiHidden/>
    <w:unhideWhenUsed/>
    <w:rsid w:val="00D16D88"/>
    <w:pPr>
      <w:spacing w:before="0" w:after="0"/>
    </w:pPr>
    <w:rPr>
      <w:sz w:val="20"/>
      <w:szCs w:val="20"/>
    </w:rPr>
  </w:style>
  <w:style w:type="character" w:customStyle="1" w:styleId="FootnoteTextChar">
    <w:name w:val="Footnote Text Char"/>
    <w:basedOn w:val="DefaultParagraphFont"/>
    <w:link w:val="FootnoteText"/>
    <w:uiPriority w:val="99"/>
    <w:semiHidden/>
    <w:rsid w:val="00D16D88"/>
    <w:rPr>
      <w:color w:val="231F20" w:themeColor="text1"/>
      <w:sz w:val="20"/>
      <w:szCs w:val="20"/>
    </w:rPr>
  </w:style>
  <w:style w:type="character" w:styleId="FootnoteReference">
    <w:name w:val="footnote reference"/>
    <w:basedOn w:val="DefaultParagraphFont"/>
    <w:uiPriority w:val="99"/>
    <w:semiHidden/>
    <w:unhideWhenUsed/>
    <w:rsid w:val="00D16D88"/>
    <w:rPr>
      <w:vertAlign w:val="superscript"/>
    </w:rPr>
  </w:style>
  <w:style w:type="paragraph" w:customStyle="1" w:styleId="Style3">
    <w:name w:val="Style3"/>
    <w:basedOn w:val="Heading4"/>
    <w:link w:val="Style3Char"/>
    <w:rsid w:val="007D1C56"/>
    <w:pPr>
      <w:numPr>
        <w:numId w:val="12"/>
      </w:numPr>
      <w:ind w:left="284"/>
    </w:pPr>
  </w:style>
  <w:style w:type="paragraph" w:customStyle="1" w:styleId="Style4">
    <w:name w:val="Style4"/>
    <w:basedOn w:val="Style3"/>
    <w:link w:val="Style4Char"/>
    <w:qFormat/>
    <w:rsid w:val="007D1C56"/>
    <w:pPr>
      <w:ind w:left="0" w:hanging="426"/>
    </w:pPr>
  </w:style>
  <w:style w:type="character" w:customStyle="1" w:styleId="Style3Char">
    <w:name w:val="Style3 Char"/>
    <w:basedOn w:val="Heading4Char"/>
    <w:link w:val="Style3"/>
    <w:rsid w:val="007D1C56"/>
    <w:rPr>
      <w:rFonts w:asciiTheme="majorHAnsi" w:eastAsiaTheme="majorEastAsia" w:hAnsiTheme="majorHAnsi" w:cstheme="majorBidi"/>
      <w:b/>
      <w:iCs/>
      <w:color w:val="231F20" w:themeColor="text1"/>
    </w:rPr>
  </w:style>
  <w:style w:type="paragraph" w:customStyle="1" w:styleId="Style5">
    <w:name w:val="Style5"/>
    <w:basedOn w:val="ListParagraph"/>
    <w:link w:val="Style5Char"/>
    <w:rsid w:val="007A57D0"/>
    <w:pPr>
      <w:numPr>
        <w:ilvl w:val="1"/>
        <w:numId w:val="13"/>
      </w:numPr>
    </w:pPr>
  </w:style>
  <w:style w:type="character" w:customStyle="1" w:styleId="Style4Char">
    <w:name w:val="Style4 Char"/>
    <w:basedOn w:val="Style3Char"/>
    <w:link w:val="Style4"/>
    <w:rsid w:val="007D1C56"/>
    <w:rPr>
      <w:rFonts w:asciiTheme="majorHAnsi" w:eastAsiaTheme="majorEastAsia" w:hAnsiTheme="majorHAnsi" w:cstheme="majorBidi"/>
      <w:b/>
      <w:iCs/>
      <w:color w:val="231F20" w:themeColor="text1"/>
    </w:rPr>
  </w:style>
  <w:style w:type="paragraph" w:customStyle="1" w:styleId="Style6">
    <w:name w:val="Style6"/>
    <w:basedOn w:val="Style4"/>
    <w:link w:val="Style6Char"/>
    <w:rsid w:val="007A57D0"/>
    <w:pPr>
      <w:ind w:left="142" w:hanging="568"/>
    </w:pPr>
  </w:style>
  <w:style w:type="character" w:customStyle="1" w:styleId="ListParagraphChar">
    <w:name w:val="List Paragraph Char"/>
    <w:basedOn w:val="DefaultParagraphFont"/>
    <w:link w:val="ListParagraph"/>
    <w:uiPriority w:val="34"/>
    <w:rsid w:val="007A57D0"/>
    <w:rPr>
      <w:rFonts w:cs="Times New Roman (Body CS)"/>
      <w:color w:val="231F20" w:themeColor="text1"/>
    </w:rPr>
  </w:style>
  <w:style w:type="character" w:customStyle="1" w:styleId="Style5Char">
    <w:name w:val="Style5 Char"/>
    <w:basedOn w:val="ListParagraphChar"/>
    <w:link w:val="Style5"/>
    <w:rsid w:val="007A57D0"/>
    <w:rPr>
      <w:rFonts w:cs="Times New Roman (Body CS)"/>
      <w:color w:val="231F20" w:themeColor="text1"/>
    </w:rPr>
  </w:style>
  <w:style w:type="character" w:customStyle="1" w:styleId="Style6Char">
    <w:name w:val="Style6 Char"/>
    <w:basedOn w:val="Style4Char"/>
    <w:link w:val="Style6"/>
    <w:rsid w:val="007A57D0"/>
    <w:rPr>
      <w:rFonts w:asciiTheme="majorHAnsi" w:eastAsiaTheme="majorEastAsia" w:hAnsiTheme="majorHAnsi" w:cstheme="majorBidi"/>
      <w:b/>
      <w:iCs/>
      <w:color w:val="231F20" w:themeColor="text1"/>
    </w:rPr>
  </w:style>
  <w:style w:type="paragraph" w:customStyle="1" w:styleId="Style7">
    <w:name w:val="Style 7"/>
    <w:basedOn w:val="Style2"/>
    <w:link w:val="Style7Char"/>
    <w:qFormat/>
    <w:rsid w:val="00002CD6"/>
  </w:style>
  <w:style w:type="character" w:customStyle="1" w:styleId="Style2Char">
    <w:name w:val="Style2 Char"/>
    <w:basedOn w:val="DefaultParagraphFont"/>
    <w:link w:val="Style2"/>
    <w:rsid w:val="00002CD6"/>
    <w:rPr>
      <w:color w:val="231F20" w:themeColor="text1"/>
    </w:rPr>
  </w:style>
  <w:style w:type="character" w:customStyle="1" w:styleId="Style7Char">
    <w:name w:val="Style 7 Char"/>
    <w:basedOn w:val="Style2Char"/>
    <w:link w:val="Style7"/>
    <w:rsid w:val="00002CD6"/>
    <w:rPr>
      <w:color w:val="231F20" w:themeColor="text1"/>
    </w:rPr>
  </w:style>
  <w:style w:type="paragraph" w:styleId="Revision">
    <w:name w:val="Revision"/>
    <w:hidden/>
    <w:uiPriority w:val="99"/>
    <w:semiHidden/>
    <w:rsid w:val="00E36706"/>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97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andsouthessex.ics.nhs.uk/publications/042-grievance-policy/" TargetMode="External"/><Relationship Id="rId18" Type="http://schemas.openxmlformats.org/officeDocument/2006/relationships/hyperlink" Target="mailto:mseicb-me.essexhr-inbox@nhs.net" TargetMode="External"/><Relationship Id="rId26" Type="http://schemas.openxmlformats.org/officeDocument/2006/relationships/hyperlink" Target="https://www.england.nhs.uk/supporting-our-nhs-people/support-now/looking-after-you-confidential-coaching-and-support-for-the-primary-care-workforce/" TargetMode="External"/><Relationship Id="rId39" Type="http://schemas.openxmlformats.org/officeDocument/2006/relationships/hyperlink" Target="https://www.england.nhs.uk/ourwork/freedom-to-speak-up/developing-freedom-to-speak-up-arrangements-in-the-nhs/" TargetMode="External"/><Relationship Id="rId21" Type="http://schemas.openxmlformats.org/officeDocument/2006/relationships/hyperlink" Target="mailto:eleni.gill@wmas.nhs.uk" TargetMode="External"/><Relationship Id="rId34" Type="http://schemas.openxmlformats.org/officeDocument/2006/relationships/hyperlink" Target="https://protect-advice.org.uk/" TargetMode="External"/><Relationship Id="rId42" Type="http://schemas.openxmlformats.org/officeDocument/2006/relationships/hyperlink" Target="mailto:george.wood5@nhs.net" TargetMode="External"/><Relationship Id="rId47" Type="http://schemas.openxmlformats.org/officeDocument/2006/relationships/hyperlink" Target="http://www.cqc.org.uk/GiveFeedback" TargetMode="External"/><Relationship Id="rId50" Type="http://schemas.openxmlformats.org/officeDocument/2006/relationships/hyperlink" Target="https://cfa.nhs.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dandsouthessex.ics.nhs.uk/publications/042-grievance-policy/" TargetMode="External"/><Relationship Id="rId29" Type="http://schemas.openxmlformats.org/officeDocument/2006/relationships/hyperlink" Target="https://protect-advice.org.uk/" TargetMode="External"/><Relationship Id="rId11" Type="http://schemas.openxmlformats.org/officeDocument/2006/relationships/hyperlink" Target="https://www.england.nhs.uk/ournhspeople/online-version/lfaop/our-nhs-people-promise/the-promise/" TargetMode="External"/><Relationship Id="rId24" Type="http://schemas.openxmlformats.org/officeDocument/2006/relationships/hyperlink" Target="https://speakup.direct/about-us/" TargetMode="External"/><Relationship Id="rId32" Type="http://schemas.openxmlformats.org/officeDocument/2006/relationships/hyperlink" Target="https://www.acas.org.uk/" TargetMode="External"/><Relationship Id="rId37" Type="http://schemas.openxmlformats.org/officeDocument/2006/relationships/hyperlink" Target="https://nationalguardian.org.uk/learning-resources/speaking-up-resources/" TargetMode="External"/><Relationship Id="rId40" Type="http://schemas.openxmlformats.org/officeDocument/2006/relationships/hyperlink" Target="https://nhs.sharepoint.com/sites/99F_Connect/SitePages/Speaking-Up.aspx" TargetMode="External"/><Relationship Id="rId45" Type="http://schemas.openxmlformats.org/officeDocument/2006/relationships/hyperlink" Target="https://www.cqc.org.uk/"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qc.org.uk/contact-us/report-concern/report-concern-if-you-are-member-staff" TargetMode="External"/><Relationship Id="rId31" Type="http://schemas.openxmlformats.org/officeDocument/2006/relationships/hyperlink" Target="https://www.lawsociety.org.uk/for-the-public/" TargetMode="External"/><Relationship Id="rId44" Type="http://schemas.openxmlformats.org/officeDocument/2006/relationships/hyperlink" Target="mailto:england.contactus@nhs.net"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www.midandsouthessex.ics.nhs.uk%2Fwp-content%2Fuploads%2F2022%2F08%2F056-Dignity-at-Work-Policy-V2-2023.docx&amp;wdOrigin=BROWSELINK" TargetMode="External"/><Relationship Id="rId22" Type="http://schemas.openxmlformats.org/officeDocument/2006/relationships/hyperlink" Target="https://gbr01.safelinks.protection.outlook.com/?url=https%3A%2F%2Fnhs.sharepoint.com%2Fsites%2F99F_Connect%2FSitePages%2FHR%2FSpeaking-Up.aspx%3Ffrom%3DSendByEmail%26e%3Dv4IMGxAoy0uqJcgELqZKEA%26at%3D121&amp;data=05%7C01%7Cj.low2%40nhs.net%7C5725730e4a954dfd9f0908dbf6446af1%7C37c354b285b047f5b22207b48d774ee3%7C0%7C0%7C638374545930001420%7CUnknown%7CTWFpbGZsb3d8eyJWIjoiMC4wLjAwMDAiLCJQIjoiV2luMzIiLCJBTiI6Ik1haWwiLCJXVCI6Mn0%3D%7C3000%7C%7C%7C&amp;sdata=%2BZAoVdHayNZ1c9qgbVkwXjQnMFPgJzwJ5H9iUrrLd84%3D&amp;reserved=0" TargetMode="External"/><Relationship Id="rId27" Type="http://schemas.openxmlformats.org/officeDocument/2006/relationships/hyperlink" Target="https://www.england.nhs.uk/supporting-our-nhs-people/support-now/looking-after-you-confidential-coaching-and-support-for-the-primary-care-workforce/" TargetMode="External"/><Relationship Id="rId30" Type="http://schemas.openxmlformats.org/officeDocument/2006/relationships/hyperlink" Target="https://www.tuc.org.uk/joinunion" TargetMode="External"/><Relationship Id="rId35" Type="http://schemas.openxmlformats.org/officeDocument/2006/relationships/hyperlink" Target="https://nationalguardian.org.uk/" TargetMode="External"/><Relationship Id="rId43" Type="http://schemas.openxmlformats.org/officeDocument/2006/relationships/hyperlink" Target="https://www.england.nhs.uk/" TargetMode="External"/><Relationship Id="rId48" Type="http://schemas.openxmlformats.org/officeDocument/2006/relationships/hyperlink" Target="https://www.hee.nhs.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cfa.nhs.uk/reportfraud" TargetMode="External"/><Relationship Id="rId3" Type="http://schemas.openxmlformats.org/officeDocument/2006/relationships/customXml" Target="../customXml/item3.xml"/><Relationship Id="rId12" Type="http://schemas.openxmlformats.org/officeDocument/2006/relationships/hyperlink" Target="mailto:mseicb-me.essexhr-inbox@nhs.net" TargetMode="External"/><Relationship Id="rId17" Type="http://schemas.openxmlformats.org/officeDocument/2006/relationships/hyperlink" Target="https://nationalguardian.org.uk/for-guardians/job-description/" TargetMode="External"/><Relationship Id="rId25" Type="http://schemas.openxmlformats.org/officeDocument/2006/relationships/hyperlink" Target="https://www.england.nhs.uk/supporting-our-nhs-people/support-now/" TargetMode="External"/><Relationship Id="rId33" Type="http://schemas.openxmlformats.org/officeDocument/2006/relationships/hyperlink" Target="https://speakup.direct/about-us/" TargetMode="External"/><Relationship Id="rId38" Type="http://schemas.openxmlformats.org/officeDocument/2006/relationships/hyperlink" Target="https://www.midandsouthessex.ics.nhs.uk/publications/nhs-mid-and-south-essex-icb-constitution/" TargetMode="External"/><Relationship Id="rId46" Type="http://schemas.openxmlformats.org/officeDocument/2006/relationships/hyperlink" Target="mailto:enquiries@cqc.org.uk" TargetMode="External"/><Relationship Id="rId20" Type="http://schemas.openxmlformats.org/officeDocument/2006/relationships/hyperlink" Target="https://www.england.nhs.uk/ourwork/freedom-to-speak-up/how-to-speak-up-to-us-about-other-nhs-organisations/" TargetMode="External"/><Relationship Id="rId41" Type="http://schemas.openxmlformats.org/officeDocument/2006/relationships/hyperlink" Target="mailto:ceooffice.mseics@nhs.net"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midandsouthessex.ics.nhs.uk/publications/089-patient-safety-incident-response-framework-policy/" TargetMode="External"/><Relationship Id="rId23" Type="http://schemas.openxmlformats.org/officeDocument/2006/relationships/hyperlink" Target="https://gbr01.safelinks.protection.outlook.com/?url=https%3A%2F%2Fnhs.sharepoint.com%2Fsites%2F99F_Connect%2FSitePages%2FICB-Staff-Networks.aspx%3Ffrom%3DSendByEmail%26e%3DWIjQ2XzUXkanf-IIe_hu1w%26at%3D121&amp;data=05%7C01%7Cj.low2%40nhs.net%7Cd8223adf2fca43a6192208dbf644d5a8%7C37c354b285b047f5b22207b48d774ee3%7C0%7C0%7C638374547739557934%7CUnknown%7CTWFpbGZsb3d8eyJWIjoiMC4wLjAwMDAiLCJQIjoiV2luMzIiLCJBTiI6Ik1haWwiLCJXVCI6Mn0%3D%7C3000%7C%7C%7C&amp;sdata=Oh1YUd2YEqhVYXsbi0dIE1x9bbmkYOqMlYDKl%2F%2FF%2FjY%3D&amp;reserved=0" TargetMode="External"/><Relationship Id="rId28" Type="http://schemas.openxmlformats.org/officeDocument/2006/relationships/hyperlink" Target="https://www.england.nhs.uk/ourwork/whistleblowing/whistleblowers-support-scheme/" TargetMode="External"/><Relationship Id="rId36" Type="http://schemas.openxmlformats.org/officeDocument/2006/relationships/hyperlink" Target="https://nationalguardian.org.uk/for-guardians/training-for-guardians/" TargetMode="External"/><Relationship Id="rId49" Type="http://schemas.openxmlformats.org/officeDocument/2006/relationships/hyperlink" Target="http://www.hee.nhs.uk/about/contact-us-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9f7c630f-7b21-41af-8e66-c00e7f0a0ae0" xsi:nil="true"/>
    <lcf76f155ced4ddcb4097134ff3c332f xmlns="50a69fdf-07a1-4535-917f-f731e83d1c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CD395E33-1A50-43FF-9420-CE8C8402F8EA}">
  <ds:schemaRefs>
    <ds:schemaRef ds:uri="http://schemas.microsoft.com/sharepoint/v3/contenttype/forms"/>
  </ds:schemaRefs>
</ds:datastoreItem>
</file>

<file path=customXml/itemProps3.xml><?xml version="1.0" encoding="utf-8"?>
<ds:datastoreItem xmlns:ds="http://schemas.openxmlformats.org/officeDocument/2006/customXml" ds:itemID="{219B54FE-D90B-4A90-9603-F010801D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B1C8C0-6C7B-4C72-94F4-83BB77DEC39A}">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14</TotalTime>
  <Pages>25</Pages>
  <Words>7938</Words>
  <Characters>45251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Nicola (07G) Thurrock CCG</dc:creator>
  <cp:keywords/>
  <dc:description/>
  <cp:lastModifiedBy>CHASNEY, Helen (NHS MID AND SOUTH ESSEX ICB - 07G)</cp:lastModifiedBy>
  <cp:revision>12</cp:revision>
  <cp:lastPrinted>2021-12-03T14:01:00Z</cp:lastPrinted>
  <dcterms:created xsi:type="dcterms:W3CDTF">2024-01-24T11:13:00Z</dcterms:created>
  <dcterms:modified xsi:type="dcterms:W3CDTF">2025-02-11T12:05:00Z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